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bookmarkStart w:id="174" w:name="_GoBack"/>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苏州市吴江区政府采购</w:t>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961"/>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吴江区2026年度土地征收成片开发方案编制项目</w:t>
      </w:r>
      <w:r/>
    </w:p>
    <w:p>
      <w:pPr>
        <w:ind w:firstLine="961"/>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JSZC-320509-SZJX-C2026-0003</w:t>
      </w:r>
      <w:r>
        <w:rPr>
          <w:rFonts w:hint="eastAsia" w:ascii="宋体" w:hAnsi="宋体" w:eastAsia="宋体" w:cs="宋体"/>
          <w:b/>
          <w:bCs/>
          <w:color w:val="auto"/>
          <w:sz w:val="32"/>
          <w:szCs w:val="32"/>
          <w:highlight w:val="none"/>
        </w:rPr>
        <w:t xml:space="preserve">              </w:t>
      </w:r>
      <w:r/>
    </w:p>
    <w:p>
      <w:pPr>
        <w:ind w:firstLine="961"/>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采购单位：</w:t>
      </w:r>
      <w:r>
        <w:rPr>
          <w:rFonts w:hint="eastAsia" w:ascii="宋体" w:hAnsi="宋体" w:eastAsia="宋体" w:cs="宋体"/>
          <w:b/>
          <w:bCs/>
          <w:color w:val="auto"/>
          <w:sz w:val="32"/>
          <w:szCs w:val="32"/>
          <w:highlight w:val="none"/>
          <w:lang w:eastAsia="zh-CN"/>
        </w:rPr>
        <w:t xml:space="preserve">吴江区自然资源和规划局</w:t>
      </w:r>
      <w:r/>
    </w:p>
    <w:p>
      <w:pPr>
        <w:ind w:firstLine="961"/>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采购类别：服务类</w:t>
      </w:r>
      <w:r/>
    </w:p>
    <w:p>
      <w:pPr>
        <w:ind w:firstLine="2108"/>
        <w:jc w:val="left"/>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 xml:space="preserve">苏州捷信招投标咨询有限公司</w:t>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rPr>
        <w:t xml:space="preserve">2026</w:t>
      </w:r>
      <w:r>
        <w:rPr>
          <w:rFonts w:hint="eastAsia" w:ascii="宋体" w:hAnsi="宋体" w:eastAsia="宋体" w:cs="宋体"/>
          <w:b/>
          <w:bCs/>
          <w:color w:val="auto"/>
          <w:sz w:val="32"/>
          <w:szCs w:val="24"/>
          <w:highlight w:val="none"/>
        </w:rPr>
        <w:t xml:space="preserve">年</w:t>
      </w:r>
      <w:r>
        <w:rPr>
          <w:rFonts w:hint="eastAsia" w:ascii="宋体" w:hAnsi="宋体" w:eastAsia="宋体" w:cs="宋体"/>
          <w:b/>
          <w:bCs/>
          <w:color w:val="auto"/>
          <w:sz w:val="32"/>
          <w:szCs w:val="24"/>
          <w:highlight w:val="none"/>
          <w:lang w:val="en-US" w:eastAsia="zh-CN"/>
        </w:rPr>
        <w:t xml:space="preserve">1</w:t>
      </w:r>
      <w:r>
        <w:rPr>
          <w:rFonts w:hint="eastAsia" w:ascii="宋体" w:hAnsi="宋体" w:eastAsia="宋体" w:cs="宋体"/>
          <w:b/>
          <w:bCs/>
          <w:color w:val="auto"/>
          <w:sz w:val="32"/>
          <w:szCs w:val="24"/>
          <w:highlight w:val="none"/>
        </w:rPr>
        <w:t xml:space="preserve">月</w:t>
      </w:r>
      <w:r/>
    </w:p>
    <w:p>
      <w:pPr>
        <w:jc w:val="left"/>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44"/>
          <w:szCs w:val="21"/>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3" w:bottom="1440" w:left="1083" w:header="851" w:footer="907" w:gutter="0"/>
          <w:cols w:num="1" w:sep="0" w:space="0" w:equalWidth="1"/>
          <w:docGrid w:linePitch="360"/>
        </w:sectPr>
        <w:outlineLvl w:val="0"/>
      </w:pPr>
      <w:r/>
      <w:bookmarkStart w:id="0" w:name="_Toc120614210"/>
      <w:r/>
      <w:bookmarkStart w:id="1" w:name="_Toc479757206"/>
      <w:r/>
      <w:bookmarkStart w:id="2" w:name="_Toc523127445"/>
      <w:r/>
      <w:bookmarkStart w:id="3" w:name="_Toc20823272"/>
      <w:r/>
      <w:bookmarkStart w:id="4" w:name="_Toc16938516"/>
      <w:r/>
      <w:bookmarkStart w:id="5" w:name="_Toc513029200"/>
      <w:r/>
      <w:r/>
    </w:p>
    <w:p>
      <w:pPr>
        <w:jc w:val="center"/>
        <w:spacing w:line="48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总  目  录</w:t>
      </w:r>
      <w:r/>
    </w:p>
    <w:p>
      <w:pP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numPr>
          <w:ilvl w:val="0"/>
          <w:numId w:val="4"/>
        </w:numP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磋商邀请 </w:t>
      </w:r>
      <w:r/>
    </w:p>
    <w:p>
      <w:pPr>
        <w:numPr>
          <w:ilvl w:val="0"/>
          <w:numId w:val="4"/>
        </w:numP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bCs/>
          <w:color w:val="auto"/>
          <w:sz w:val="28"/>
          <w:szCs w:val="28"/>
          <w:highlight w:val="none"/>
        </w:rPr>
        <w:t xml:space="preserve">供应商须知</w:t>
      </w:r>
      <w:r>
        <w:rPr>
          <w:rFonts w:hint="eastAsia" w:ascii="宋体" w:hAnsi="宋体" w:eastAsia="宋体" w:cs="宋体"/>
          <w:color w:val="auto"/>
          <w:sz w:val="28"/>
          <w:szCs w:val="28"/>
          <w:highlight w:val="none"/>
        </w:rPr>
        <w:t xml:space="preserve">  </w:t>
      </w:r>
      <w:r/>
    </w:p>
    <w:p>
      <w:pPr>
        <w:numPr>
          <w:ilvl w:val="0"/>
          <w:numId w:val="4"/>
        </w:numP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合同文本</w:t>
      </w:r>
      <w:r/>
    </w:p>
    <w:p>
      <w:pPr>
        <w:numPr>
          <w:ilvl w:val="0"/>
          <w:numId w:val="4"/>
        </w:numP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采购需求</w:t>
      </w:r>
      <w:r/>
    </w:p>
    <w:p>
      <w:pPr>
        <w:numPr>
          <w:ilvl w:val="0"/>
          <w:numId w:val="4"/>
        </w:numP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bCs/>
          <w:color w:val="auto"/>
          <w:sz w:val="28"/>
          <w:szCs w:val="28"/>
          <w:highlight w:val="none"/>
        </w:rPr>
        <w:t xml:space="preserve">评审方法与评审标准</w:t>
      </w:r>
      <w:r/>
    </w:p>
    <w:p>
      <w:pPr>
        <w:numPr>
          <w:ilvl w:val="0"/>
          <w:numId w:val="4"/>
        </w:numP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响应文件格式</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both"/>
        <w:keepNext/>
        <w:rPr>
          <w:rFonts w:hint="eastAsia" w:ascii="宋体" w:hAnsi="宋体" w:eastAsia="宋体" w:cs="宋体"/>
          <w:color w:val="auto"/>
          <w:sz w:val="44"/>
          <w:szCs w:val="44"/>
          <w:highlight w:val="none"/>
        </w:rPr>
        <w:sectPr>
          <w:footerReference w:type="default" r:id="rId14"/>
          <w:footerReference w:type="first" r:id="rId15"/>
          <w:footnotePr/>
          <w:endnotePr/>
          <w:type w:val="nextPage"/>
          <w:pgSz w:w="11906" w:h="16838" w:orient="portrait"/>
          <w:pgMar w:top="1440" w:right="1083" w:bottom="1440" w:left="1083" w:header="851" w:footer="907" w:gutter="0"/>
          <w:pgNumType w:start="1"/>
          <w:cols w:num="1" w:sep="0" w:space="0" w:equalWidth="1"/>
          <w:docGrid w:linePitch="360"/>
        </w:sectPr>
        <w:outlineLvl w:val="0"/>
      </w:pPr>
      <w:r>
        <w:rPr>
          <w:rFonts w:hint="eastAsia" w:ascii="宋体" w:hAnsi="宋体" w:eastAsia="宋体" w:cs="宋体"/>
          <w:color w:val="auto"/>
          <w:sz w:val="44"/>
          <w:szCs w:val="44"/>
          <w:highlight w:val="none"/>
        </w:rPr>
      </w:r>
      <w:r/>
    </w:p>
    <w:p>
      <w:pPr>
        <w:ind w:firstLine="561"/>
        <w:jc w:val="center"/>
        <w:keepNext/>
        <w:pageBreakBefore w:val="0"/>
        <w:spacing w:line="360" w:lineRule="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第一章  </w:t>
      </w:r>
      <w:bookmarkEnd w:id="0"/>
      <w:r>
        <w:rPr>
          <w:rFonts w:hint="eastAsia" w:ascii="宋体" w:hAnsi="宋体" w:eastAsia="宋体" w:cs="宋体"/>
          <w:b/>
          <w:bCs/>
          <w:color w:val="auto"/>
          <w:sz w:val="28"/>
          <w:szCs w:val="28"/>
          <w:highlight w:val="none"/>
        </w:rPr>
        <w:t xml:space="preserve">磋商邀请</w:t>
      </w:r>
      <w:r/>
    </w:p>
    <w:p>
      <w:pPr>
        <w:ind w:firstLine="420"/>
        <w:jc w:val="left"/>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20"/>
        <w:jc w:val="left"/>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吴江区2026年度土地征收成片开发方案编制项目的潜在供应商可在</w:t>
      </w:r>
      <w:r>
        <w:rPr>
          <w:rFonts w:hint="eastAsia" w:ascii="宋体" w:hAnsi="宋体" w:eastAsia="宋体" w:cs="宋体"/>
          <w:color w:val="auto"/>
          <w:sz w:val="21"/>
          <w:szCs w:val="21"/>
          <w:highlight w:val="none"/>
          <w:u w:val="single"/>
        </w:rPr>
        <w:t xml:space="preserve">“苏采云”自行免费下载</w:t>
      </w:r>
      <w:r>
        <w:rPr>
          <w:rFonts w:hint="eastAsia" w:ascii="宋体" w:hAnsi="宋体" w:eastAsia="宋体" w:cs="宋体"/>
          <w:color w:val="auto"/>
          <w:sz w:val="21"/>
          <w:szCs w:val="21"/>
          <w:highlight w:val="none"/>
        </w:rPr>
        <w:t xml:space="preserve">磋商文件，并于</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  2</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lang w:val="en-US" w:eastAsia="zh-CN"/>
        </w:rPr>
        <w:t xml:space="preserve"> 9 </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13</w:t>
      </w:r>
      <w:r>
        <w:rPr>
          <w:rFonts w:hint="eastAsia" w:ascii="宋体" w:hAnsi="宋体" w:eastAsia="宋体" w:cs="宋体"/>
          <w:bCs/>
          <w:color w:val="auto"/>
          <w:sz w:val="21"/>
          <w:szCs w:val="21"/>
          <w:highlight w:val="none"/>
          <w:u w:val="single"/>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北京时间）前递交响应文件</w:t>
      </w:r>
      <w:r>
        <w:rPr>
          <w:rFonts w:hint="eastAsia" w:ascii="宋体" w:hAnsi="宋体" w:eastAsia="宋体" w:cs="宋体"/>
          <w:color w:val="auto"/>
          <w:sz w:val="21"/>
          <w:szCs w:val="21"/>
          <w:highlight w:val="none"/>
        </w:rPr>
        <w:t xml:space="preserve">。</w:t>
      </w:r>
      <w:r/>
    </w:p>
    <w:p>
      <w:pPr>
        <w:ind w:firstLine="420"/>
        <w:jc w:val="left"/>
        <w:keepLines/>
        <w:keepNext/>
        <w:pageBreakBefore w:val="0"/>
        <w:spacing w:line="360" w:lineRule="auto"/>
        <w:rPr>
          <w:rFonts w:hint="eastAsia" w:ascii="宋体" w:hAnsi="宋体" w:eastAsia="宋体" w:cs="宋体"/>
          <w:b/>
          <w:bCs/>
          <w:color w:val="auto"/>
          <w:sz w:val="21"/>
          <w:szCs w:val="21"/>
          <w:highlight w:val="none"/>
        </w:rPr>
        <w:outlineLvl w:val="2"/>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宋体" w:hAnsi="宋体" w:eastAsia="宋体" w:cs="宋体"/>
          <w:b/>
          <w:bCs/>
          <w:color w:val="auto"/>
          <w:sz w:val="21"/>
          <w:szCs w:val="21"/>
          <w:highlight w:val="none"/>
        </w:rPr>
        <w:t xml:space="preserve">一、项目基本情况</w:t>
      </w:r>
      <w:bookmarkEnd w:id="6"/>
      <w:r/>
      <w:bookmarkEnd w:id="7"/>
      <w:r/>
      <w:bookmarkEnd w:id="8"/>
      <w:r/>
      <w:bookmarkEnd w:id="9"/>
      <w:r/>
      <w:bookmarkEnd w:id="10"/>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JSZC-320509-SZJX-C2026-0003</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吴江区2026年度土地征收成片开发方案编制项目</w:t>
      </w:r>
      <w:bookmarkEnd w:id="11"/>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300万元</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w:t>
      </w:r>
      <w:r>
        <w:rPr>
          <w:rFonts w:hint="eastAsia" w:ascii="宋体" w:hAnsi="宋体" w:cs="宋体"/>
          <w:color w:val="auto"/>
          <w:sz w:val="21"/>
          <w:szCs w:val="21"/>
          <w:highlight w:val="none"/>
          <w:lang w:val="en-US" w:eastAsia="zh-CN"/>
        </w:rPr>
        <w:t xml:space="preserve">10万元/个片区。</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采购方式：竞争性磋商</w:t>
      </w:r>
      <w:r/>
    </w:p>
    <w:p>
      <w:pPr>
        <w:numPr>
          <w:ilvl w:val="0"/>
          <w:numId w:val="0"/>
        </w:numPr>
        <w:ind w:firstLine="420"/>
        <w:jc w:val="left"/>
        <w:keepLines w:val="0"/>
        <w:keepNex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为贯彻落实《土地管理法》和《自然资源部关于印发&lt;土地征收成片开发标准&gt;的通知》（自然资规〔2023〕7号）的有关要求，进一步做好土地征收工作，特此开展我区土地征收成片开发方案编制工作。</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自合同签订之日至 2026年 12 月 31 日前完成（具体时间结合省、市上报时间安排，以采购人要求为准，如因政策变化原因造成时间延误，则项目完成时间相应顺延）。成交人须将2026年 12 月 31 日前启动编制的片区持续服务至编制完成并上报获批。</w:t>
      </w:r>
      <w:r/>
    </w:p>
    <w:p>
      <w:pPr>
        <w:ind w:firstLine="420"/>
        <w:jc w:val="left"/>
        <w:keepLines/>
        <w:keepNext/>
        <w:pageBreakBefore w:val="0"/>
        <w:spacing w:line="360" w:lineRule="auto"/>
        <w:rPr>
          <w:rFonts w:hint="eastAsia" w:ascii="宋体" w:hAnsi="宋体" w:eastAsia="宋体" w:cs="宋体"/>
          <w:b/>
          <w:bCs/>
          <w:color w:val="auto"/>
          <w:sz w:val="21"/>
          <w:szCs w:val="21"/>
          <w:highlight w:val="none"/>
        </w:rPr>
        <w:outlineLvl w:val="2"/>
      </w:pPr>
      <w:r/>
      <w:bookmarkStart w:id="12" w:name="_Toc28359080"/>
      <w:r/>
      <w:bookmarkStart w:id="13" w:name="_Toc35393622"/>
      <w:r/>
      <w:bookmarkStart w:id="14" w:name="_Toc38985264"/>
      <w:r/>
      <w:bookmarkStart w:id="15" w:name="_Toc35393791"/>
      <w:r/>
      <w:bookmarkStart w:id="16" w:name="_Toc28359003"/>
      <w:r>
        <w:rPr>
          <w:rFonts w:hint="eastAsia" w:ascii="宋体" w:hAnsi="宋体" w:eastAsia="宋体" w:cs="宋体"/>
          <w:b/>
          <w:bCs/>
          <w:color w:val="auto"/>
          <w:sz w:val="21"/>
          <w:szCs w:val="21"/>
          <w:highlight w:val="none"/>
        </w:rPr>
        <w:t xml:space="preserve">二、申请人的资格要求：</w:t>
      </w:r>
      <w:bookmarkEnd w:id="12"/>
      <w:r/>
      <w:bookmarkEnd w:id="13"/>
      <w:r/>
      <w:bookmarkEnd w:id="14"/>
      <w:r/>
      <w:bookmarkEnd w:id="15"/>
      <w:r/>
      <w:bookmarkEnd w:id="16"/>
      <w:r/>
      <w:r/>
    </w:p>
    <w:p>
      <w:pPr>
        <w:ind w:firstLine="420"/>
        <w:jc w:val="left"/>
        <w:pageBreakBefore w:val="0"/>
        <w:spacing w:line="360" w:lineRule="auto"/>
        <w:rPr>
          <w:rFonts w:hint="eastAsia" w:ascii="宋体" w:hAnsi="宋体" w:eastAsia="宋体" w:cs="宋体"/>
          <w:color w:val="auto"/>
          <w:sz w:val="21"/>
          <w:szCs w:val="21"/>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eastAsia="宋体" w:cs="宋体"/>
          <w:color w:val="auto"/>
          <w:sz w:val="21"/>
          <w:szCs w:val="21"/>
          <w:highlight w:val="none"/>
        </w:rPr>
        <w:t xml:space="preserve">（一）满足《中华人民共和国政府采购法》第二十二条规定；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法律、行政法规规定的其他条件</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根据《政府采购促进中小企业发展管理办法》的相关规定，本项目专门面向中小企业，承接服务的供应商应为中小微企业、监狱企业、残疾人福利性单位。</w:t>
      </w:r>
      <w:r/>
    </w:p>
    <w:p>
      <w:pPr>
        <w:ind w:firstLine="420"/>
        <w:jc w:val="left"/>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（三）本项目的特定资格要求：</w:t>
      </w:r>
      <w:r>
        <w:rPr>
          <w:rFonts w:hint="eastAsia" w:ascii="宋体" w:hAnsi="宋体" w:eastAsia="宋体" w:cs="宋体"/>
          <w:b w:val="0"/>
          <w:bCs w:val="0"/>
          <w:color w:val="auto"/>
          <w:sz w:val="21"/>
          <w:szCs w:val="21"/>
          <w:highlight w:val="none"/>
          <w:lang w:val="en-US" w:eastAsia="zh-CN"/>
        </w:rPr>
        <w:t xml:space="preserve">具备有效期内的城乡规划（国土空间规划）编制乙级及以上资质。</w:t>
      </w:r>
      <w:r/>
    </w:p>
    <w:p>
      <w:pPr>
        <w:ind w:firstLine="420"/>
        <w:jc w:val="left"/>
        <w:keepLines/>
        <w:keepNext/>
        <w:pageBreakBefore w:val="0"/>
        <w:spacing w:line="360" w:lineRule="auto"/>
        <w:rPr>
          <w:rFonts w:hint="eastAsia" w:ascii="宋体" w:hAnsi="宋体" w:eastAsia="宋体" w:cs="宋体"/>
          <w:b w:val="0"/>
          <w:bCs w:val="0"/>
          <w:color w:val="auto"/>
          <w:sz w:val="21"/>
          <w:szCs w:val="21"/>
          <w:highlight w:val="none"/>
        </w:rPr>
        <w:outlineLvl w:val="2"/>
      </w:pPr>
      <w:r>
        <w:rPr>
          <w:rFonts w:hint="eastAsia" w:ascii="宋体" w:hAnsi="宋体" w:eastAsia="宋体" w:cs="宋体"/>
          <w:b w:val="0"/>
          <w:bCs w:val="0"/>
          <w:color w:val="auto"/>
          <w:sz w:val="21"/>
          <w:szCs w:val="21"/>
          <w:highlight w:val="none"/>
        </w:rPr>
        <w:t xml:space="preserve">注：（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numPr>
          <w:ilvl w:val="0"/>
          <w:numId w:val="5"/>
        </w:numPr>
        <w:ind w:firstLine="420"/>
        <w:jc w:val="left"/>
        <w:keepLines/>
        <w:keepNext/>
        <w:pageBreakBefore w:val="0"/>
        <w:spacing w:line="360" w:lineRule="auto"/>
        <w:rPr>
          <w:rFonts w:hint="eastAsia" w:ascii="宋体" w:hAnsi="宋体" w:eastAsia="宋体" w:cs="宋体"/>
          <w:b w:val="0"/>
          <w:bCs w:val="0"/>
          <w:color w:val="auto"/>
          <w:sz w:val="21"/>
          <w:szCs w:val="21"/>
          <w:highlight w:val="none"/>
        </w:rPr>
        <w:outlineLvl w:val="2"/>
      </w:pPr>
      <w:r>
        <w:rPr>
          <w:rFonts w:hint="eastAsia" w:ascii="宋体" w:hAnsi="宋体" w:eastAsia="宋体" w:cs="宋体"/>
          <w:b w:val="0"/>
          <w:bCs w:val="0"/>
          <w:color w:val="auto"/>
          <w:sz w:val="21"/>
          <w:szCs w:val="21"/>
          <w:highlight w:val="none"/>
        </w:rPr>
        <w:t xml:space="preserve">本项目不接受联合体。</w:t>
      </w:r>
      <w:r/>
    </w:p>
    <w:p>
      <w:pPr>
        <w:numPr>
          <w:ilvl w:val="0"/>
          <w:numId w:val="0"/>
        </w:numPr>
        <w:ind w:firstLine="420"/>
        <w:jc w:val="left"/>
        <w:keepLines/>
        <w:keepNext/>
        <w:pageBreakBefore w:val="0"/>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jc w:val="left"/>
        <w:pageBreakBefore w:val="0"/>
        <w:spacing w:line="360" w:lineRule="auto"/>
        <w:rPr>
          <w:rFonts w:hint="eastAsia" w:ascii="宋体" w:hAnsi="宋体" w:eastAsia="宋体" w:cs="宋体"/>
          <w:b/>
          <w:color w:val="auto"/>
          <w:sz w:val="21"/>
          <w:szCs w:val="21"/>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color w:val="auto"/>
          <w:sz w:val="21"/>
          <w:szCs w:val="21"/>
          <w:highlight w:val="none"/>
        </w:rPr>
        <w:t xml:space="preserve">时间：</w:t>
      </w:r>
      <w:r>
        <w:rPr>
          <w:rFonts w:ascii="SimSun" w:hAnsi="SimSun" w:eastAsia="SimSun" w:cs="SimSun"/>
          <w:color w:val="000000"/>
          <w:sz w:val="21"/>
        </w:rPr>
        <w:t xml:space="preserve">自公告发布之日起2026年  2月  3日</w:t>
      </w:r>
      <w:r>
        <w:rPr>
          <w:rFonts w:hint="eastAsia" w:ascii="宋体" w:hAnsi="宋体" w:eastAsia="宋体" w:cs="宋体"/>
          <w:color w:val="auto"/>
          <w:sz w:val="21"/>
          <w:szCs w:val="21"/>
          <w:highlight w:val="none"/>
        </w:rPr>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方式：自行下载 </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售价：0.00元 </w:t>
      </w:r>
      <w:r/>
    </w:p>
    <w:p>
      <w:pPr>
        <w:ind w:firstLine="420"/>
        <w:jc w:val="left"/>
        <w:keepLines/>
        <w:keepNext/>
        <w:pageBreakBefore w:val="0"/>
        <w:spacing w:line="360" w:lineRule="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四、</w:t>
      </w:r>
      <w:bookmarkEnd w:id="22"/>
      <w:r/>
      <w:bookmarkEnd w:id="23"/>
      <w:r>
        <w:rPr>
          <w:rFonts w:hint="eastAsia" w:ascii="宋体" w:hAnsi="宋体" w:eastAsia="宋体" w:cs="宋体"/>
          <w:b/>
          <w:bCs/>
          <w:color w:val="auto"/>
          <w:sz w:val="21"/>
          <w:szCs w:val="21"/>
          <w:highlight w:val="none"/>
        </w:rPr>
        <w:t xml:space="preserve">响应文件</w:t>
      </w:r>
      <w:bookmarkEnd w:id="24"/>
      <w:r/>
      <w:bookmarkEnd w:id="25"/>
      <w:r/>
      <w:bookmarkEnd w:id="26"/>
      <w:r>
        <w:rPr>
          <w:rFonts w:hint="eastAsia" w:ascii="宋体" w:hAnsi="宋体" w:eastAsia="宋体" w:cs="宋体"/>
          <w:b/>
          <w:bCs/>
          <w:color w:val="auto"/>
          <w:sz w:val="21"/>
          <w:szCs w:val="21"/>
          <w:highlight w:val="none"/>
          <w:lang w:val="en-US" w:eastAsia="zh-CN"/>
        </w:rPr>
        <w:t xml:space="preserve">提交</w:t>
      </w:r>
      <w:r/>
    </w:p>
    <w:p>
      <w:pPr>
        <w:ind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截止时间：</w:t>
      </w:r>
      <w:r>
        <w:rPr>
          <w:rFonts w:hint="eastAsia" w:ascii="宋体" w:hAnsi="宋体" w:eastAsia="宋体" w:cs="宋体"/>
          <w:bCs/>
          <w:color w:val="auto"/>
          <w:sz w:val="21"/>
          <w:szCs w:val="21"/>
          <w:highlight w:val="none"/>
          <w:lang w:eastAsia="zh-CN"/>
        </w:rPr>
        <w:t xml:space="preserve">2026</w:t>
      </w:r>
      <w:r>
        <w:rPr>
          <w:rFonts w:hint="eastAsia" w:ascii="宋体" w:hAnsi="宋体" w:eastAsia="宋体" w:cs="宋体"/>
          <w:bCs/>
          <w:color w:val="auto"/>
          <w:sz w:val="21"/>
          <w:szCs w:val="21"/>
          <w:highlight w:val="none"/>
          <w:lang w:val="en-US" w:eastAsia="zh-CN"/>
        </w:rPr>
        <w:t xml:space="preserve">年  2月 9日</w:t>
      </w:r>
      <w:r>
        <w:rPr>
          <w:rFonts w:hint="eastAsia" w:ascii="宋体" w:hAnsi="宋体" w:eastAsia="宋体" w:cs="宋体"/>
          <w:bCs/>
          <w:color w:val="auto"/>
          <w:sz w:val="21"/>
          <w:szCs w:val="21"/>
          <w:highlight w:val="none"/>
        </w:rPr>
        <w:t xml:space="preserve"> 13:30 （北京时间）</w:t>
      </w:r>
      <w:r/>
    </w:p>
    <w:p>
      <w:pPr>
        <w:ind w:firstLine="420"/>
        <w:jc w:val="left"/>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地点：“苏采云”系统</w:t>
      </w:r>
      <w:r>
        <w:rPr>
          <w:rFonts w:hint="eastAsia" w:ascii="宋体" w:hAnsi="宋体" w:eastAsia="宋体" w:cs="宋体"/>
          <w:bCs/>
          <w:color w:val="auto"/>
          <w:sz w:val="21"/>
          <w:szCs w:val="21"/>
          <w:highlight w:val="none"/>
          <w:lang w:eastAsia="zh-CN"/>
        </w:rPr>
        <w:t xml:space="preserve">。</w:t>
      </w:r>
      <w:r/>
    </w:p>
    <w:p>
      <w:pPr>
        <w:ind w:firstLine="420"/>
        <w:jc w:val="left"/>
        <w:keepLines/>
        <w:keepNext/>
        <w:pageBreakBefore w:val="0"/>
        <w:spacing w:line="360" w:lineRule="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lang w:val="en-US" w:eastAsia="zh-CN"/>
        </w:rPr>
        <w:t xml:space="preserve">五、开启</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bCs/>
          <w:color w:val="auto"/>
          <w:sz w:val="21"/>
          <w:szCs w:val="21"/>
          <w:highlight w:val="none"/>
          <w:lang w:eastAsia="zh-CN"/>
        </w:rPr>
        <w:t xml:space="preserve">2026</w:t>
      </w:r>
      <w:r>
        <w:rPr>
          <w:rFonts w:hint="eastAsia" w:ascii="宋体" w:hAnsi="宋体" w:eastAsia="宋体" w:cs="宋体"/>
          <w:bCs/>
          <w:color w:val="auto"/>
          <w:sz w:val="21"/>
          <w:szCs w:val="21"/>
          <w:highlight w:val="none"/>
          <w:lang w:val="en-US" w:eastAsia="zh-CN"/>
        </w:rPr>
        <w:t xml:space="preserve">年  2月 9 日13:30</w:t>
      </w:r>
      <w:r>
        <w:rPr>
          <w:rFonts w:hint="eastAsia" w:ascii="宋体" w:hAnsi="宋体" w:eastAsia="宋体" w:cs="宋体"/>
          <w:color w:val="auto"/>
          <w:sz w:val="21"/>
          <w:szCs w:val="21"/>
          <w:highlight w:val="none"/>
        </w:rPr>
        <w:t xml:space="preserve"> （北京时间）</w:t>
      </w:r>
      <w:r/>
    </w:p>
    <w:p>
      <w:pPr>
        <w:ind w:firstLine="420"/>
        <w:jc w:val="left"/>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地点：苏州市吴江区开平路998号3楼不见面开标室</w:t>
      </w:r>
      <w:r/>
    </w:p>
    <w:p>
      <w:pPr>
        <w:ind w:firstLine="420"/>
        <w:jc w:val="left"/>
        <w:keepLines/>
        <w:keepNext/>
        <w:pageBreakBefore w:val="0"/>
        <w:spacing w:line="360" w:lineRule="auto"/>
        <w:rPr>
          <w:rFonts w:hint="eastAsia" w:ascii="宋体" w:hAnsi="宋体" w:eastAsia="宋体" w:cs="宋体"/>
          <w:b/>
          <w:bCs/>
          <w:color w:val="auto"/>
          <w:sz w:val="21"/>
          <w:szCs w:val="21"/>
          <w:highlight w:val="none"/>
        </w:rPr>
        <w:outlineLvl w:val="2"/>
      </w:pPr>
      <w:r/>
      <w:bookmarkStart w:id="27" w:name="_Toc35393794"/>
      <w:r/>
      <w:bookmarkStart w:id="28" w:name="_Toc28359007"/>
      <w:r/>
      <w:bookmarkStart w:id="29" w:name="_Toc28359084"/>
      <w:r/>
      <w:bookmarkStart w:id="30" w:name="_Toc38985267"/>
      <w:r/>
      <w:bookmarkStart w:id="31" w:name="_Toc35393625"/>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、公告期限</w:t>
      </w:r>
      <w:bookmarkEnd w:id="27"/>
      <w:r/>
      <w:bookmarkEnd w:id="28"/>
      <w:r/>
      <w:bookmarkEnd w:id="29"/>
      <w:r/>
      <w:bookmarkEnd w:id="30"/>
      <w:r/>
      <w:bookmarkEnd w:id="31"/>
      <w:r/>
      <w:r/>
    </w:p>
    <w:p>
      <w:pPr>
        <w:ind w:firstLine="420"/>
        <w:jc w:val="left"/>
        <w:pageBreakBefore w:val="0"/>
        <w:spacing w:line="360" w:lineRule="auto"/>
        <w:rPr>
          <w:rFonts w:hint="eastAsia" w:ascii="宋体" w:hAnsi="宋体" w:eastAsia="宋体" w:cs="宋体"/>
          <w:color w:val="auto"/>
          <w:sz w:val="21"/>
          <w:szCs w:val="21"/>
          <w:highlight w:val="none"/>
        </w:rPr>
      </w:pPr>
      <w:r/>
      <w:bookmarkStart w:id="32" w:name="_Toc38985268"/>
      <w:r/>
      <w:bookmarkStart w:id="33" w:name="_Toc35393795"/>
      <w:r/>
      <w:bookmarkStart w:id="34" w:name="_Toc35393626"/>
      <w:r>
        <w:rPr>
          <w:rFonts w:hint="eastAsia" w:ascii="宋体" w:hAnsi="宋体" w:eastAsia="宋体" w:cs="宋体"/>
          <w:color w:val="auto"/>
          <w:sz w:val="21"/>
          <w:szCs w:val="21"/>
          <w:highlight w:val="none"/>
        </w:rPr>
        <w:t xml:space="preserve">自本公告发布之日起3个工作日。</w:t>
      </w:r>
      <w:bookmarkEnd w:id="32"/>
      <w:r/>
      <w:bookmarkEnd w:id="33"/>
      <w:r/>
      <w:bookmarkEnd w:id="34"/>
      <w:r/>
      <w:r/>
    </w:p>
    <w:p>
      <w:pPr>
        <w:ind w:firstLine="420"/>
        <w:jc w:val="left"/>
        <w:keepLines/>
        <w:keepNext/>
        <w:pageBreakBefore w:val="0"/>
        <w:spacing w:line="360" w:lineRule="auto"/>
        <w:rPr>
          <w:rFonts w:hint="eastAsia" w:ascii="宋体" w:hAnsi="宋体" w:eastAsia="宋体" w:cs="宋体"/>
          <w:b/>
          <w:bCs/>
          <w:color w:val="auto"/>
          <w:sz w:val="21"/>
          <w:szCs w:val="21"/>
          <w:highlight w:val="none"/>
        </w:rPr>
        <w:outlineLvl w:val="2"/>
      </w:pPr>
      <w:r/>
      <w:bookmarkStart w:id="35" w:name="_Toc35393627"/>
      <w:r/>
      <w:bookmarkStart w:id="36" w:name="_Toc28359085"/>
      <w:r/>
      <w:bookmarkStart w:id="37" w:name="_Toc38985269"/>
      <w:r/>
      <w:bookmarkStart w:id="38" w:name="_Toc35393796"/>
      <w:r/>
      <w:bookmarkStart w:id="39" w:name="_Toc28359008"/>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、其他补充事宜</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1.CA证</w:t>
      </w:r>
      <w:r>
        <w:rPr>
          <w:rFonts w:hint="eastAsia" w:ascii="宋体" w:hAnsi="宋体" w:eastAsia="宋体" w:cs="宋体"/>
          <w:color w:val="auto"/>
          <w:sz w:val="21"/>
          <w:szCs w:val="21"/>
          <w:highlight w:val="none"/>
        </w:rPr>
        <w:t xml:space="preserve">书办理 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auto"/>
          <w:sz w:val="21"/>
          <w:szCs w:val="21"/>
          <w:highlight w:val="none"/>
          <w:lang w:eastAsia="zh-CN"/>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2.参与采购活动 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3.电子投标准备 供应商在“苏采云”系统中操作成功参与项目后，必须在“已参与项目”界面中下载电子招标文件（后缀名为“.kedt”）并导入政府采购客户端工具后方可进行</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制作和提交（具体详见《苏采云系统供应商操作手册》，网址链接</w:t>
      </w:r>
      <w:r>
        <w:rPr>
          <w:rFonts w:hint="eastAsia" w:ascii="宋体" w:hAnsi="宋体" w:eastAsia="宋体" w:cs="宋体"/>
          <w:color w:val="auto"/>
          <w:sz w:val="21"/>
          <w:szCs w:val="21"/>
          <w:highlight w:val="none"/>
        </w:rPr>
        <w:t xml:space="preserve">https://czju.suzhou.gov.cn/zfcg/html/content/20231220161910031.shtml）。 在系统操作过程中如有疑问，请按以下方式联系： 注册咨询：0512-69820854； CA技术咨询电话：400-608-6099； 签章使用问题：025-83633811、025-83633812、15380932027、15371015030； 系统使用指导与咨询：联系电话：0512-69820854；智能客服：登录苏采云系统后，联系系统右下方智能客服图标进行咨询。</w:t>
      </w:r>
      <w:r/>
    </w:p>
    <w:p>
      <w:pPr>
        <w:pStyle w:val="77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777"/>
        <w:ind w:left="0" w:firstLine="422"/>
        <w:spacing w:line="360" w:lineRule="auto"/>
        <w:rPr>
          <w:rFonts w:hint="eastAsia" w:ascii="宋体" w:hAnsi="宋体"/>
          <w:b w:val="0"/>
          <w:bCs w:val="0"/>
          <w:color w:val="auto"/>
          <w:sz w:val="21"/>
          <w:szCs w:val="21"/>
          <w:highlight w:val="none"/>
        </w:rPr>
      </w:pPr>
      <w:r>
        <w:rPr>
          <w:rFonts w:hint="eastAsia" w:ascii="宋体" w:hAnsi="宋体" w:cs="宋体"/>
          <w:b w:val="0"/>
          <w:bCs w:val="0"/>
          <w:color w:val="auto"/>
          <w:sz w:val="21"/>
          <w:szCs w:val="21"/>
          <w:highlight w:val="none"/>
        </w:rPr>
        <w:t xml:space="preserve">本项目为不见面磋商项目，</w:t>
      </w:r>
      <w:r>
        <w:rPr>
          <w:rFonts w:hint="eastAsia" w:ascii="宋体" w:hAnsi="宋体"/>
          <w:b w:val="0"/>
          <w:bCs w:val="0"/>
          <w:color w:val="auto"/>
          <w:sz w:val="21"/>
          <w:szCs w:val="21"/>
          <w:highlight w:val="none"/>
        </w:rPr>
        <w:t xml:space="preserve">开</w:t>
      </w:r>
      <w:r>
        <w:rPr>
          <w:rFonts w:hint="eastAsia" w:ascii="宋体" w:hAnsi="宋体"/>
          <w:b w:val="0"/>
          <w:bCs w:val="0"/>
          <w:color w:val="auto"/>
          <w:szCs w:val="21"/>
          <w:highlight w:val="none"/>
        </w:rPr>
        <w:t xml:space="preserve">启</w:t>
      </w:r>
      <w:r>
        <w:rPr>
          <w:rFonts w:hint="eastAsia" w:ascii="宋体" w:hAnsi="宋体"/>
          <w:b w:val="0"/>
          <w:bCs w:val="0"/>
          <w:color w:val="auto"/>
          <w:sz w:val="21"/>
          <w:szCs w:val="21"/>
          <w:highlight w:val="none"/>
        </w:rPr>
        <w:t xml:space="preserve">阶段供应商在【供应商解密】环节必须使用 CA证书解密电子</w:t>
      </w:r>
      <w:r>
        <w:rPr>
          <w:rFonts w:hint="eastAsia" w:ascii="宋体" w:hAnsi="宋体"/>
          <w:b w:val="0"/>
          <w:bCs w:val="0"/>
          <w:color w:val="auto"/>
          <w:szCs w:val="21"/>
          <w:highlight w:val="none"/>
        </w:rPr>
        <w:t xml:space="preserve">响应</w:t>
      </w:r>
      <w:r>
        <w:rPr>
          <w:rFonts w:hint="eastAsia" w:ascii="宋体" w:hAnsi="宋体"/>
          <w:b w:val="0"/>
          <w:bCs w:val="0"/>
          <w:color w:val="auto"/>
          <w:sz w:val="21"/>
          <w:szCs w:val="21"/>
          <w:highlight w:val="none"/>
        </w:rPr>
        <w:t xml:space="preserve">文件，如在系统规定的解密时间内未能完成解密的视为放弃参与本项目。</w:t>
      </w:r>
      <w:r/>
    </w:p>
    <w:p>
      <w:pPr>
        <w:pStyle w:val="777"/>
        <w:ind w:left="0" w:firstLine="422"/>
        <w:spacing w:line="360" w:lineRule="auto"/>
        <w:rPr>
          <w:rFonts w:hint="eastAsia"/>
          <w:color w:val="auto"/>
          <w:highlight w:val="none"/>
        </w:rPr>
      </w:pPr>
      <w:r>
        <w:rPr>
          <w:rFonts w:hint="eastAsia" w:ascii="宋体" w:hAnsi="宋体" w:cs="宋体"/>
          <w:b w:val="0"/>
          <w:bCs w:val="0"/>
          <w:color w:val="auto"/>
          <w:sz w:val="21"/>
          <w:szCs w:val="21"/>
          <w:highlight w:val="none"/>
        </w:rPr>
        <w:t xml:space="preserve">请供应商确保电脑、系统及其他设备（视频输入输出设备等）无误，且开启直至项目结束始终保持系统在线状态。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4.有关本次招标的事项若存在变动或修改，敬请及时关注</w:t>
      </w:r>
      <w:r>
        <w:rPr>
          <w:rFonts w:hint="eastAsia" w:ascii="宋体" w:hAnsi="宋体" w:eastAsia="宋体" w:cs="宋体"/>
          <w:color w:val="auto"/>
          <w:sz w:val="21"/>
          <w:szCs w:val="21"/>
          <w:highlight w:val="none"/>
          <w:lang w:eastAsia="zh-CN"/>
        </w:rPr>
        <w:t xml:space="preserve">苏州捷信招投标咨询有限公司</w:t>
      </w:r>
      <w:r>
        <w:rPr>
          <w:rFonts w:hint="eastAsia" w:ascii="宋体" w:hAnsi="宋体" w:eastAsia="宋体" w:cs="宋体"/>
          <w:color w:val="auto"/>
          <w:sz w:val="21"/>
          <w:szCs w:val="21"/>
          <w:highlight w:val="none"/>
        </w:rPr>
        <w:t xml:space="preserve">在“江苏政府采购网、苏州市政府采购网”发布的更正公告。</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5.本次招标不收取投标保证金。</w:t>
      </w:r>
      <w:r/>
    </w:p>
    <w:p>
      <w:pPr>
        <w:pStyle w:val="777"/>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本响应文件网上递交，不需要现场参加采购活动，无需提供纸质响应文件。</w:t>
      </w:r>
      <w:r/>
    </w:p>
    <w:p>
      <w:pPr>
        <w:pStyle w:val="777"/>
        <w:ind w:left="0"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单位负责人为同一人或存在直接控股、管理关系的不同供应商，不得参加同一合同项下的政府采购活动。</w:t>
      </w:r>
      <w:r/>
    </w:p>
    <w:p>
      <w:pPr>
        <w:pStyle w:val="777"/>
        <w:ind w:left="0"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为采购项目提供整体设计、规范编制或者项目管理、监理、检测等服务的供应商，不得再参加该采购项目的其他采购活动。</w:t>
      </w:r>
      <w:r/>
    </w:p>
    <w:p>
      <w:pPr>
        <w:pStyle w:val="777"/>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本项目获取采购文件截止日期之后仍可以下载采购文件，但截止日期之后下载的采购文件，视为非有效方式且不作为供应商权益受到损害的证明材料和依据。</w:t>
      </w:r>
      <w:r/>
    </w:p>
    <w:p>
      <w:pPr>
        <w:ind w:firstLine="420"/>
        <w:jc w:val="left"/>
        <w:keepLines/>
        <w:keepNext/>
        <w:pageBreakBefore w:val="0"/>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七、本次磋商联系方式</w:t>
      </w:r>
      <w:bookmarkEnd w:id="35"/>
      <w:r/>
      <w:bookmarkEnd w:id="36"/>
      <w:r/>
      <w:bookmarkEnd w:id="37"/>
      <w:r/>
      <w:bookmarkEnd w:id="38"/>
      <w:r/>
      <w:bookmarkEnd w:id="39"/>
      <w:r/>
      <w:r/>
    </w:p>
    <w:p>
      <w:pPr>
        <w:ind w:left="0" w:firstLine="42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left="0"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吴江区自然资源和规划局</w:t>
      </w:r>
      <w:r/>
    </w:p>
    <w:p>
      <w:pPr>
        <w:ind w:left="0"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李杨</w:t>
      </w:r>
      <w:r/>
    </w:p>
    <w:p>
      <w:pPr>
        <w:ind w:left="0" w:firstLine="420"/>
        <w:jc w:val="left"/>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cs="宋体"/>
          <w:color w:val="auto"/>
          <w:sz w:val="21"/>
          <w:szCs w:val="21"/>
          <w:highlight w:val="none"/>
          <w:lang w:val="en-US" w:eastAsia="zh-CN"/>
        </w:rPr>
        <w:t xml:space="preserve">0512-63103311</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采购代理机构信息 </w:t>
      </w:r>
      <w:r/>
    </w:p>
    <w:p>
      <w:pPr>
        <w:ind w:left="0"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lang w:eastAsia="zh-CN"/>
        </w:rPr>
        <w:t xml:space="preserve">苏州捷信招投标咨询有限公司</w:t>
      </w:r>
      <w:r/>
    </w:p>
    <w:p>
      <w:pPr>
        <w:ind w:left="0" w:firstLine="420"/>
        <w:jc w:val="left"/>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lang w:val="en-US" w:eastAsia="zh-CN"/>
        </w:rPr>
        <w:t xml:space="preserve">苏州市南园北路118号天和商务大厦6-206</w:t>
      </w:r>
      <w:r/>
    </w:p>
    <w:p>
      <w:pPr>
        <w:ind w:left="0" w:firstLine="420"/>
        <w:jc w:val="left"/>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汪业超、丁亚萍、张瑾</w:t>
      </w:r>
      <w:r/>
    </w:p>
    <w:p>
      <w:pPr>
        <w:ind w:left="0" w:firstLine="420"/>
        <w:jc w:val="left"/>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0512-65200361</w:t>
      </w:r>
      <w:r/>
    </w:p>
    <w:p>
      <w:pPr>
        <w:ind w:left="0"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3.项目联系方式</w:t>
      </w:r>
      <w:r/>
    </w:p>
    <w:p>
      <w:pPr>
        <w:ind w:left="0"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项目联系人：汪业超、丁亚萍、张瑾</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0512-65200361</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pageBreakBefore w:val="0"/>
        <w:spacing w:line="360" w:lineRule="auto"/>
        <w:widowControl w:val="off"/>
        <w:rPr>
          <w:rFonts w:hint="eastAsia" w:ascii="宋体" w:hAnsi="宋体" w:eastAsia="宋体" w:cs="宋体"/>
          <w:b/>
          <w:bCs/>
          <w:color w:val="auto"/>
          <w:sz w:val="28"/>
          <w:szCs w:val="28"/>
          <w:highlight w:val="none"/>
        </w:rPr>
        <w:outlineLvl w:val="1"/>
      </w:pPr>
      <w:r/>
      <w:bookmarkStart w:id="40" w:name="_Toc120614211"/>
      <w:r>
        <w:rPr>
          <w:rFonts w:hint="eastAsia" w:ascii="宋体" w:hAnsi="宋体" w:eastAsia="宋体" w:cs="宋体"/>
          <w:b/>
          <w:bCs/>
          <w:color w:val="auto"/>
          <w:sz w:val="28"/>
          <w:szCs w:val="28"/>
          <w:highlight w:val="none"/>
        </w:rPr>
        <w:t xml:space="preserve">第二章  </w:t>
      </w:r>
      <w:bookmarkEnd w:id="1"/>
      <w:r/>
      <w:bookmarkEnd w:id="2"/>
      <w:r/>
      <w:bookmarkEnd w:id="3"/>
      <w:r/>
      <w:bookmarkEnd w:id="4"/>
      <w:r/>
      <w:bookmarkEnd w:id="5"/>
      <w:r/>
      <w:bookmarkEnd w:id="40"/>
      <w:r>
        <w:rPr>
          <w:rFonts w:hint="eastAsia" w:ascii="宋体" w:hAnsi="宋体" w:eastAsia="宋体" w:cs="宋体"/>
          <w:b/>
          <w:bCs/>
          <w:color w:val="auto"/>
          <w:sz w:val="28"/>
          <w:szCs w:val="28"/>
          <w:highlight w:val="none"/>
        </w:rPr>
        <w:t xml:space="preserve">供应商须知</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41" w:name="_Toc20823275"/>
      <w:r/>
      <w:bookmarkStart w:id="42" w:name="_Toc513029203"/>
      <w:r/>
      <w:bookmarkStart w:id="43" w:name="_Toc16938519"/>
      <w:r/>
      <w:bookmarkStart w:id="44" w:name="_Toc120614214"/>
      <w:r>
        <w:rPr>
          <w:rFonts w:hint="eastAsia" w:ascii="宋体" w:hAnsi="宋体" w:eastAsia="宋体" w:cs="宋体"/>
          <w:b/>
          <w:bCs/>
          <w:color w:val="auto"/>
          <w:sz w:val="21"/>
          <w:szCs w:val="21"/>
          <w:highlight w:val="none"/>
        </w:rPr>
        <w:t xml:space="preserve">一、总则</w:t>
      </w:r>
      <w:bookmarkEnd w:id="41"/>
      <w:r/>
      <w:bookmarkEnd w:id="42"/>
      <w:r/>
      <w:bookmarkEnd w:id="43"/>
      <w:r/>
      <w:bookmarkEnd w:id="44"/>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45" w:name="_Hlt16619475"/>
      <w:r/>
      <w:bookmarkEnd w:id="45"/>
      <w:r/>
      <w:bookmarkStart w:id="46" w:name="_Toc458694821"/>
      <w:r/>
      <w:bookmarkStart w:id="47" w:name="_Toc20823276"/>
      <w:r/>
      <w:bookmarkStart w:id="48" w:name="_Toc16938520"/>
      <w:r/>
      <w:bookmarkStart w:id="49" w:name="_Toc513029204"/>
      <w:r>
        <w:rPr>
          <w:rFonts w:hint="eastAsia" w:ascii="宋体" w:hAnsi="宋体" w:eastAsia="宋体" w:cs="宋体"/>
          <w:color w:val="auto"/>
          <w:sz w:val="21"/>
          <w:szCs w:val="21"/>
          <w:highlight w:val="none"/>
        </w:rPr>
        <w:t xml:space="preserve">1</w:t>
      </w:r>
      <w:bookmarkEnd w:id="46"/>
      <w:r>
        <w:rPr>
          <w:rFonts w:hint="eastAsia" w:ascii="宋体" w:hAnsi="宋体" w:eastAsia="宋体" w:cs="宋体"/>
          <w:color w:val="auto"/>
          <w:sz w:val="21"/>
          <w:szCs w:val="21"/>
          <w:highlight w:val="none"/>
        </w:rPr>
        <w:t xml:space="preserve">、采购方式</w:t>
      </w:r>
      <w:bookmarkEnd w:id="47"/>
      <w:r/>
      <w:bookmarkEnd w:id="48"/>
      <w:r/>
      <w:bookmarkEnd w:id="4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本次政府采购活动采取竞争性磋商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以下简称磋商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方式，本磋商文件仅适用于磋商公告中所述项目。</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50" w:name="_Toc513029205"/>
      <w:r/>
      <w:bookmarkStart w:id="51" w:name="_Toc16938521"/>
      <w:r/>
      <w:bookmarkStart w:id="52" w:name="_Toc20823277"/>
      <w:r>
        <w:rPr>
          <w:rFonts w:hint="eastAsia" w:ascii="宋体" w:hAnsi="宋体" w:eastAsia="宋体" w:cs="宋体"/>
          <w:color w:val="auto"/>
          <w:sz w:val="21"/>
          <w:szCs w:val="21"/>
          <w:highlight w:val="none"/>
        </w:rPr>
        <w:t xml:space="preserve">2、合格的</w:t>
      </w:r>
      <w:bookmarkEnd w:id="50"/>
      <w:r/>
      <w:bookmarkEnd w:id="51"/>
      <w:r/>
      <w:bookmarkEnd w:id="52"/>
      <w:r>
        <w:rPr>
          <w:rFonts w:hint="eastAsia" w:ascii="宋体" w:hAnsi="宋体" w:eastAsia="宋体" w:cs="宋体"/>
          <w:color w:val="auto"/>
          <w:sz w:val="21"/>
          <w:szCs w:val="21"/>
          <w:highlight w:val="none"/>
        </w:rPr>
        <w:t xml:space="preserve">供应商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2.1满足磋商公告中供应商资格要求的规定。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满足本磋商文件实质性要求和条件的规定。</w:t>
      </w:r>
      <w:r/>
    </w:p>
    <w:p>
      <w:pPr>
        <w:ind w:firstLine="420"/>
        <w:pageBreakBefore w:val="0"/>
        <w:spacing w:line="360" w:lineRule="auto"/>
        <w:rPr>
          <w:rFonts w:hint="eastAsia" w:ascii="宋体" w:hAnsi="宋体" w:eastAsia="宋体" w:cs="宋体"/>
          <w:color w:val="auto"/>
          <w:sz w:val="21"/>
          <w:szCs w:val="21"/>
          <w:highlight w:val="none"/>
          <w:lang w:val="en-US" w:eastAsia="zh-CN"/>
        </w:rPr>
      </w:pPr>
      <w:r/>
      <w:bookmarkStart w:id="53" w:name="_Toc16938522"/>
      <w:r/>
      <w:bookmarkStart w:id="54" w:name="_Toc513029206"/>
      <w:r/>
      <w:bookmarkStart w:id="55" w:name="_Toc20823278"/>
      <w:r>
        <w:rPr>
          <w:rFonts w:hint="eastAsia" w:ascii="宋体" w:hAnsi="宋体" w:eastAsia="宋体" w:cs="宋体"/>
          <w:color w:val="auto"/>
          <w:sz w:val="21"/>
          <w:szCs w:val="21"/>
          <w:highlight w:val="none"/>
          <w:lang w:val="en-US" w:eastAsia="zh-CN"/>
        </w:rPr>
        <w:t xml:space="preserve">2.3单位负责人为同一人或者存在直接控股、管理关系的不同供应商，不得参加同一合同项下的政府采购活动。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rPr>
        <w:t xml:space="preserve">存在以上情形参与投标的供应商作无效投标处理。</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3、适用法律</w:t>
      </w:r>
      <w:bookmarkEnd w:id="53"/>
      <w:r/>
      <w:bookmarkEnd w:id="54"/>
      <w:r/>
      <w:bookmarkEnd w:id="55"/>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本次磋商及由此产生的合同受中华人民共和国有关的法律法规制约和保护。</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56" w:name="_Toc513029207"/>
      <w:r/>
      <w:bookmarkStart w:id="57" w:name="_Toc20823279"/>
      <w:r/>
      <w:bookmarkStart w:id="58" w:name="_Toc462564067"/>
      <w:r/>
      <w:bookmarkStart w:id="59" w:name="_Toc16938523"/>
      <w:r>
        <w:rPr>
          <w:rFonts w:hint="eastAsia" w:ascii="宋体" w:hAnsi="宋体" w:eastAsia="宋体" w:cs="宋体"/>
          <w:color w:val="auto"/>
          <w:sz w:val="21"/>
          <w:szCs w:val="21"/>
          <w:highlight w:val="none"/>
        </w:rPr>
        <w:t xml:space="preserve">4、磋商费用</w:t>
      </w:r>
      <w:bookmarkEnd w:id="56"/>
      <w:r/>
      <w:bookmarkEnd w:id="57"/>
      <w:r/>
      <w:bookmarkEnd w:id="58"/>
      <w:r/>
      <w:bookmarkEnd w:id="59"/>
      <w:r/>
      <w:r/>
    </w:p>
    <w:p>
      <w:pPr>
        <w:ind w:firstLine="420"/>
        <w:keepLines w:val="0"/>
        <w:keepNext w:val="0"/>
        <w:pageBreakBefore w:val="0"/>
        <w:spacing w:beforeAutospacing="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bCs/>
          <w:color w:val="auto"/>
          <w:sz w:val="21"/>
          <w:szCs w:val="21"/>
          <w:highlight w:val="none"/>
          <w:lang w:eastAsia="zh-CN"/>
        </w:rPr>
        <w:t xml:space="preserve">苏州捷信招投标咨询有限公司</w:t>
      </w:r>
      <w:r>
        <w:rPr>
          <w:rFonts w:hint="eastAsia" w:ascii="宋体" w:hAnsi="宋体" w:eastAsia="宋体" w:cs="宋体"/>
          <w:bCs/>
          <w:color w:val="auto"/>
          <w:sz w:val="21"/>
          <w:szCs w:val="21"/>
          <w:highlight w:val="none"/>
        </w:rPr>
        <w:t xml:space="preserve">在任何情况下均无义务和责任承担这些费用。</w:t>
      </w:r>
      <w:r/>
    </w:p>
    <w:p>
      <w:pPr>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4.2本次磋商</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和采购人不收取标书工本费。</w:t>
      </w:r>
      <w:r/>
    </w:p>
    <w:p>
      <w:pPr>
        <w:pStyle w:val="795"/>
        <w:ind w:left="0" w:right="0" w:firstLine="420"/>
        <w:jc w:val="both"/>
        <w:keepLines w:val="0"/>
        <w:keepNext w:val="0"/>
        <w:pageBreakBefore w:val="0"/>
        <w:spacing w:before="0" w:beforeAutospacing="0" w:after="0" w:afterAutospacing="0" w:line="360" w:lineRule="auto"/>
        <w:widowControl/>
        <w:rPr>
          <w:rFonts w:hint="eastAsia"/>
          <w:color w:val="auto"/>
          <w:highlight w:val="none"/>
        </w:rPr>
        <w:suppressLineNumbers w:val="0"/>
      </w:pPr>
      <w:r>
        <w:rPr>
          <w:rFonts w:hint="eastAsia" w:ascii="宋体" w:hAnsi="宋体" w:eastAsia="宋体" w:cs="宋体"/>
          <w:bCs/>
          <w:color w:val="auto"/>
          <w:sz w:val="21"/>
          <w:szCs w:val="21"/>
          <w:highlight w:val="none"/>
          <w:lang w:val="en-US" w:eastAsia="zh-CN" w:bidi="ar"/>
        </w:rPr>
        <w:t xml:space="preserve">4.3成交服务费</w:t>
      </w:r>
      <w:r>
        <w:rPr>
          <w:rFonts w:hint="eastAsia" w:ascii="宋体" w:hAnsi="宋体" w:eastAsia="宋体" w:cs="宋体"/>
          <w:color w:val="auto"/>
          <w:sz w:val="21"/>
          <w:szCs w:val="21"/>
          <w:highlight w:val="none"/>
          <w:lang w:val="en-US" w:eastAsia="zh-CN" w:bidi="ar"/>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val="0"/>
          <w:bCs w:val="0"/>
          <w:color w:val="auto"/>
          <w:sz w:val="21"/>
          <w:szCs w:val="21"/>
          <w:highlight w:val="none"/>
        </w:rPr>
        <w:t xml:space="preserve">5、磋商文件的</w:t>
      </w:r>
      <w:r>
        <w:rPr>
          <w:rFonts w:hint="eastAsia" w:ascii="宋体" w:hAnsi="宋体" w:eastAsia="宋体" w:cs="宋体"/>
          <w:color w:val="auto"/>
          <w:sz w:val="21"/>
          <w:szCs w:val="21"/>
          <w:highlight w:val="none"/>
        </w:rPr>
        <w:t xml:space="preserve">约束力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eastAsia="宋体" w:cs="宋体"/>
          <w:color w:val="auto"/>
          <w:sz w:val="21"/>
          <w:szCs w:val="21"/>
          <w:highlight w:val="none"/>
        </w:rPr>
        <w:t xml:space="preserve">供应商一旦参加本项目采购活动，即被认为接受了本磋商文件的规定和约束。</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60" w:name="_Toc20823281"/>
      <w:r/>
      <w:bookmarkStart w:id="61" w:name="_Toc16938525"/>
      <w:r/>
      <w:bookmarkStart w:id="62" w:name="_Toc513029209"/>
      <w:r/>
      <w:bookmarkStart w:id="63" w:name="_Toc120614215"/>
      <w:r>
        <w:rPr>
          <w:rFonts w:hint="eastAsia" w:ascii="宋体" w:hAnsi="宋体" w:eastAsia="宋体" w:cs="宋体"/>
          <w:b/>
          <w:bCs/>
          <w:color w:val="auto"/>
          <w:sz w:val="21"/>
          <w:szCs w:val="21"/>
          <w:highlight w:val="none"/>
        </w:rPr>
        <w:t xml:space="preserve">二、</w:t>
      </w:r>
      <w:bookmarkEnd w:id="60"/>
      <w:r/>
      <w:bookmarkEnd w:id="61"/>
      <w:r/>
      <w:bookmarkEnd w:id="62"/>
      <w:r/>
      <w:bookmarkEnd w:id="63"/>
      <w:r>
        <w:rPr>
          <w:rFonts w:hint="eastAsia" w:ascii="宋体" w:hAnsi="宋体" w:eastAsia="宋体" w:cs="宋体"/>
          <w:b/>
          <w:bCs/>
          <w:color w:val="auto"/>
          <w:sz w:val="21"/>
          <w:szCs w:val="21"/>
          <w:highlight w:val="none"/>
        </w:rPr>
        <w:t xml:space="preserve">磋商文件</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64" w:name="_Toc20823282"/>
      <w:r/>
      <w:bookmarkStart w:id="65" w:name="_Toc16938526"/>
      <w:r/>
      <w:bookmarkStart w:id="66" w:name="_Toc513029210"/>
      <w:r>
        <w:rPr>
          <w:rFonts w:hint="eastAsia" w:ascii="宋体" w:hAnsi="宋体" w:eastAsia="宋体" w:cs="宋体"/>
          <w:color w:val="auto"/>
          <w:sz w:val="21"/>
          <w:szCs w:val="21"/>
          <w:highlight w:val="none"/>
        </w:rPr>
        <w:t xml:space="preserve">6、磋商文件构成</w:t>
      </w:r>
      <w:bookmarkEnd w:id="64"/>
      <w:r/>
      <w:bookmarkEnd w:id="65"/>
      <w:r/>
      <w:bookmarkEnd w:id="6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6.1</w:t>
      </w:r>
      <w:r>
        <w:rPr>
          <w:rFonts w:hint="eastAsia" w:ascii="宋体" w:hAnsi="宋体" w:eastAsia="宋体" w:cs="宋体"/>
          <w:color w:val="auto"/>
          <w:sz w:val="21"/>
          <w:szCs w:val="21"/>
          <w:highlight w:val="none"/>
        </w:rPr>
        <w:t xml:space="preserve">磋商文件由以下部分组成：</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（1）磋商邀请</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（2）供应商须知</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（5）评审方法与评审标准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（6）响应文件格式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请仔细检查磋商文件是否齐全，如有缺漏请立即与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联系解决。</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6.2</w:t>
      </w:r>
      <w:r>
        <w:rPr>
          <w:rFonts w:hint="eastAsia" w:ascii="宋体" w:hAnsi="宋体" w:eastAsia="宋体" w:cs="宋体"/>
          <w:color w:val="auto"/>
          <w:sz w:val="2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67" w:name="_Toc462564070"/>
      <w:r/>
      <w:bookmarkStart w:id="68" w:name="_Toc20823283"/>
      <w:r/>
      <w:bookmarkStart w:id="69" w:name="_Toc513029211"/>
      <w:r/>
      <w:bookmarkStart w:id="70" w:name="_Toc16938527"/>
      <w:r>
        <w:rPr>
          <w:rFonts w:hint="eastAsia" w:ascii="宋体" w:hAnsi="宋体" w:eastAsia="宋体" w:cs="宋体"/>
          <w:color w:val="auto"/>
          <w:sz w:val="21"/>
          <w:szCs w:val="21"/>
          <w:highlight w:val="none"/>
        </w:rPr>
        <w:t xml:space="preserve">7、磋商文件的澄清</w:t>
      </w:r>
      <w:bookmarkEnd w:id="67"/>
      <w:r/>
      <w:bookmarkEnd w:id="68"/>
      <w:r/>
      <w:bookmarkEnd w:id="69"/>
      <w:r/>
      <w:bookmarkEnd w:id="7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7.1</w:t>
      </w:r>
      <w:r>
        <w:rPr>
          <w:rFonts w:hint="eastAsia" w:ascii="宋体" w:hAnsi="宋体" w:eastAsia="宋体" w:cs="宋体"/>
          <w:color w:val="auto"/>
          <w:sz w:val="21"/>
          <w:szCs w:val="21"/>
          <w:highlight w:val="none"/>
        </w:rPr>
        <w:t xml:space="preserve"> 任何要求对磋商文件进行澄清的供应商，应在磋商截止期</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日前按磋商公告中的通讯地址，以书面形式通知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71" w:name="_Toc16938528"/>
      <w:r/>
      <w:bookmarkStart w:id="72" w:name="_Toc20823284"/>
      <w:r/>
      <w:bookmarkStart w:id="73" w:name="_Toc513029212"/>
      <w:r/>
      <w:bookmarkStart w:id="74" w:name="_Toc462564071"/>
      <w:r>
        <w:rPr>
          <w:rFonts w:hint="eastAsia" w:ascii="宋体" w:hAnsi="宋体" w:eastAsia="宋体" w:cs="宋体"/>
          <w:color w:val="auto"/>
          <w:sz w:val="21"/>
          <w:szCs w:val="21"/>
          <w:highlight w:val="none"/>
        </w:rPr>
        <w:t xml:space="preserve">8、磋商文件的澄清和修改</w:t>
      </w:r>
      <w:bookmarkEnd w:id="71"/>
      <w:r/>
      <w:bookmarkEnd w:id="72"/>
      <w:r/>
      <w:bookmarkEnd w:id="73"/>
      <w:r/>
      <w:bookmarkEnd w:id="7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8.1</w:t>
      </w:r>
      <w:r>
        <w:rPr>
          <w:rFonts w:hint="eastAsia" w:ascii="宋体" w:hAnsi="宋体" w:eastAsia="宋体" w:cs="宋体"/>
          <w:color w:val="auto"/>
          <w:sz w:val="21"/>
          <w:szCs w:val="21"/>
          <w:highlight w:val="none"/>
        </w:rPr>
        <w:t xml:space="preserve"> 在响应文件提交截止时间前，</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可以对磋商文件进行澄清和修改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将在提交首次响应文件截止时间至少5日前，在“</w:t>
      </w:r>
      <w:r>
        <w:rPr>
          <w:rFonts w:hint="eastAsia" w:ascii="宋体" w:hAnsi="宋体" w:eastAsia="宋体" w:cs="宋体"/>
          <w:color w:val="auto"/>
          <w:sz w:val="21"/>
          <w:szCs w:val="21"/>
          <w:highlight w:val="none"/>
          <w:lang w:val="en-US" w:eastAsia="zh-CN"/>
        </w:rPr>
        <w:t xml:space="preserve">苏州市</w:t>
      </w:r>
      <w:r>
        <w:rPr>
          <w:rFonts w:hint="eastAsia" w:ascii="宋体" w:hAnsi="宋体" w:eastAsia="宋体" w:cs="宋体"/>
          <w:color w:val="auto"/>
          <w:sz w:val="21"/>
          <w:szCs w:val="21"/>
          <w:highlight w:val="none"/>
        </w:rPr>
        <w:t xml:space="preserve">政府采购网”上发布书面更正公告形式通知所有获取磋商文件的供应商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更正公告内容将作为磋商文件的组成部分，并对供应商具有约束力。不足5日的，</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将顺延提交首次响应文件截止时间。</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可以视采购项目的具体情况，组织供应商进行现场考察或召开磋商前答疑会，但不单独或分别组织只有一个供应商参加的现场考察和答疑会。</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75" w:name="_Toc462564072"/>
      <w:r/>
      <w:bookmarkStart w:id="76" w:name="_Toc16938529"/>
      <w:r/>
      <w:bookmarkStart w:id="77" w:name="_Toc513029213"/>
      <w:r/>
      <w:bookmarkStart w:id="78" w:name="_Toc120614216"/>
      <w:r/>
      <w:bookmarkStart w:id="79" w:name="_Toc20823285"/>
      <w:r>
        <w:rPr>
          <w:rFonts w:hint="eastAsia" w:ascii="宋体" w:hAnsi="宋体" w:eastAsia="宋体" w:cs="宋体"/>
          <w:b/>
          <w:bCs/>
          <w:color w:val="auto"/>
          <w:sz w:val="21"/>
          <w:szCs w:val="21"/>
          <w:highlight w:val="none"/>
        </w:rPr>
        <w:t xml:space="preserve">三、响应文件的编制</w:t>
      </w:r>
      <w:bookmarkEnd w:id="75"/>
      <w:r/>
      <w:bookmarkEnd w:id="76"/>
      <w:r/>
      <w:bookmarkEnd w:id="77"/>
      <w:r/>
      <w:bookmarkEnd w:id="78"/>
      <w:r/>
      <w:bookmarkEnd w:id="79"/>
      <w:r/>
      <w:r/>
    </w:p>
    <w:p>
      <w:pPr>
        <w:ind w:firstLine="420"/>
        <w:keepLines/>
        <w:keepNext/>
        <w:pageBreakBefore w:val="0"/>
        <w:spacing w:line="360" w:lineRule="auto"/>
        <w:rPr>
          <w:rFonts w:hint="eastAsia" w:ascii="宋体" w:hAnsi="宋体" w:eastAsia="宋体" w:cs="宋体"/>
          <w:b/>
          <w:color w:val="auto"/>
          <w:sz w:val="21"/>
          <w:szCs w:val="21"/>
          <w:highlight w:val="none"/>
        </w:rPr>
        <w:outlineLvl w:val="3"/>
      </w:pPr>
      <w:r/>
      <w:bookmarkStart w:id="80" w:name="_Toc462564073"/>
      <w:r/>
      <w:bookmarkStart w:id="81" w:name="_Toc513029214"/>
      <w:r/>
      <w:bookmarkStart w:id="82" w:name="_Toc20823286"/>
      <w:r/>
      <w:bookmarkStart w:id="83" w:name="_Toc16938530"/>
      <w:r>
        <w:rPr>
          <w:rFonts w:hint="eastAsia" w:ascii="宋体" w:hAnsi="宋体" w:eastAsia="宋体" w:cs="宋体"/>
          <w:color w:val="auto"/>
          <w:sz w:val="21"/>
          <w:szCs w:val="21"/>
          <w:highlight w:val="none"/>
        </w:rPr>
        <w:t xml:space="preserve">9、响应文件的语言及度量衡单位</w:t>
      </w:r>
      <w:bookmarkEnd w:id="80"/>
      <w:r/>
      <w:bookmarkEnd w:id="81"/>
      <w:r/>
      <w:bookmarkEnd w:id="82"/>
      <w:r/>
      <w:bookmarkEnd w:id="8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w:t>
      </w:r>
      <w:r>
        <w:rPr>
          <w:rFonts w:hint="eastAsia" w:ascii="宋体" w:hAnsi="宋体" w:eastAsia="宋体" w:cs="宋体"/>
          <w:color w:val="auto"/>
          <w:sz w:val="21"/>
          <w:szCs w:val="21"/>
          <w:highlight w:val="none"/>
        </w:rPr>
        <w:t xml:space="preserve">供应商提交的响应文件以及供应商与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就有关磋商的所有来往通知、函件和文件均应使用</w:t>
      </w:r>
      <w:r>
        <w:rPr>
          <w:rFonts w:hint="eastAsia" w:ascii="宋体" w:hAnsi="宋体" w:eastAsia="宋体" w:cs="宋体"/>
          <w:b/>
          <w:bCs/>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9.2</w:t>
      </w:r>
      <w:r>
        <w:rPr>
          <w:rFonts w:hint="eastAsia" w:ascii="宋体" w:hAnsi="宋体" w:eastAsia="宋体" w:cs="宋体"/>
          <w:color w:val="auto"/>
          <w:sz w:val="21"/>
          <w:szCs w:val="21"/>
          <w:highlight w:val="none"/>
        </w:rPr>
        <w:t xml:space="preserve"> 除技术性能另有规定外，响应文件所使用的度量衡单位，均须采用国家法定计量单位。</w:t>
      </w:r>
      <w:r/>
    </w:p>
    <w:p>
      <w:pPr>
        <w:ind w:firstLine="420"/>
        <w:keepLines/>
        <w:keepNext/>
        <w:pageBreakBefore w:val="0"/>
        <w:spacing w:beforeAutospacing="0" w:afterAutospacing="0" w:line="360" w:lineRule="auto"/>
        <w:rPr>
          <w:rFonts w:hint="eastAsia" w:ascii="宋体" w:hAnsi="宋体" w:eastAsia="宋体" w:cs="宋体"/>
          <w:b/>
          <w:bCs/>
          <w:color w:val="auto"/>
          <w:sz w:val="21"/>
          <w:szCs w:val="21"/>
          <w:highlight w:val="none"/>
        </w:rPr>
        <w:outlineLvl w:val="3"/>
      </w:pPr>
      <w:r/>
      <w:bookmarkStart w:id="84" w:name="_Toc20823287"/>
      <w:r/>
      <w:bookmarkStart w:id="85" w:name="_Toc16938531"/>
      <w:r/>
      <w:bookmarkStart w:id="86" w:name="_Toc513029215"/>
      <w:r/>
      <w:bookmarkStart w:id="87" w:name="_Toc462564074"/>
      <w:r>
        <w:rPr>
          <w:rFonts w:hint="eastAsia" w:ascii="宋体" w:hAnsi="宋体" w:eastAsia="宋体" w:cs="宋体"/>
          <w:b/>
          <w:bCs/>
          <w:color w:val="auto"/>
          <w:sz w:val="21"/>
          <w:szCs w:val="21"/>
          <w:highlight w:val="none"/>
        </w:rPr>
        <w:t xml:space="preserve">10、响应文件构成</w:t>
      </w:r>
      <w:bookmarkEnd w:id="84"/>
      <w:r/>
      <w:bookmarkEnd w:id="85"/>
      <w:r/>
      <w:bookmarkEnd w:id="86"/>
      <w:r/>
      <w:bookmarkEnd w:id="87"/>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10.1封面</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10.2开标一览表</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10.3资格审查响应文件</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（1）具有独立承担民事责任的能力证明。包括法人或者其他组织的营业执照等证明文件，自然人的身份证明；</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（2）具有良好的商业信誉和健全的财务会计制度证明（法人应提供最近一期经会计师事务所审计的财务报告，其他组织、自然人及成立未满一年的法人应提供银行出具的资信证明）；</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（3）履行合同所必需的设备和专业技术能力的证明材料或承诺；</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（5）参加政府采购活动前三年内在经营活动中没有重大违法记录的书面声明函；</w:t>
      </w:r>
      <w:r/>
    </w:p>
    <w:p>
      <w:pPr>
        <w:pStyle w:val="780"/>
        <w:ind w:left="0" w:right="0" w:firstLine="420"/>
        <w:keepLines w:val="0"/>
        <w:keepNext w:val="0"/>
        <w:pageBreakBefore w:val="0"/>
        <w:spacing w:before="0" w:beforeAutospacing="0" w:after="0" w:afterAutospacing="0" w:line="360" w:lineRule="auto"/>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其它有关资格证明的文件：提供有效期内的城乡规划（国土空间规划）编制乙级及以上资质扫描件。</w:t>
      </w:r>
      <w:r/>
    </w:p>
    <w:p>
      <w:pPr>
        <w:pStyle w:val="780"/>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auto"/>
          <w:highlight w:val="none"/>
        </w:rPr>
        <w:suppressLineNumbers w:val="0"/>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10.4符合性审查响应文件</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（1）磋商响应函（格式见第三章）；</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（2）磋商报价分析表（格式见第三章）；</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（3）商务、服务偏离表（格式见第三章）；</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（4）项目服务人员配置表（格式见第三章）；</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（5）其他有关符合性证明的文件；</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（6）磋商响应单位基本情况表（格式见第三章）；</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（7）关于资格文件的声明函（格式见第三章）；</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（8）单位法定代表人身份证扫描件；法定代表人授权委托书（如有授权）；单位授权代理人身份证扫描件（如有授权）等；</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10.5综合评审响应文件</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所需材料详见第六章评分标准。</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与本次采购相关的其他证明材料；</w:t>
      </w:r>
      <w:r/>
    </w:p>
    <w:p>
      <w:pPr>
        <w:pStyle w:val="795"/>
        <w:numPr>
          <w:ilvl w:val="0"/>
          <w:numId w:val="0"/>
        </w:numPr>
        <w:ind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10.6对属于《节能产品政府采购品目清单》政府强制采购产品的，需提供该产品有效期内的认证等相关证明材料（如有）。</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注：（1）以上10.3为资格审查要求提供的材料，是作为对供应商资格审查、质疑身份认定的依据，响应供应商必须提供并加盖电子公章。否则，磋商响应文件将被认定为不符合资格审查要求。</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（2）以上10.4为符合性审查须提供的资料，响应供应商必须提供并加盖电子公章。否则，磋商响应文件将被认定为未实质性响应。</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（3）制作电子响应文件时必须与响应文件制作软件目录一一对应，将相关资料上传至相应模块。</w:t>
      </w:r>
      <w:r/>
    </w:p>
    <w:p>
      <w:pPr>
        <w:pStyle w:val="795"/>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5"/>
        <w:ind w:left="0" w:right="0" w:firstLine="420"/>
        <w:jc w:val="both"/>
        <w:keepLines w:val="0"/>
        <w:keepNext w:val="0"/>
        <w:pageBreakBefore w:val="0"/>
        <w:spacing w:before="0" w:beforeAutospacing="0" w:after="0" w:afterAutospacing="0" w:line="360" w:lineRule="auto"/>
        <w:widowControl/>
        <w:rPr>
          <w:rFonts w:hint="eastAsia"/>
          <w:color w:val="auto"/>
          <w:highlight w:val="none"/>
        </w:rPr>
        <w:suppressLineNumbers w:val="0"/>
      </w:pPr>
      <w:r>
        <w:rPr>
          <w:rFonts w:hint="eastAsia" w:ascii="宋体" w:hAnsi="宋体" w:eastAsia="宋体" w:cs="宋体"/>
          <w:bCs/>
          <w:color w:val="auto"/>
          <w:sz w:val="21"/>
          <w:szCs w:val="21"/>
          <w:highlight w:val="none"/>
          <w:lang w:val="en-US" w:eastAsia="zh-CN" w:bidi="ar"/>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pageBreakBefore w:val="0"/>
        <w:spacing w:line="360" w:lineRule="auto"/>
        <w:rPr>
          <w:rFonts w:hint="eastAsia" w:ascii="宋体" w:hAnsi="宋体" w:eastAsia="宋体" w:cs="宋体"/>
          <w:color w:val="auto"/>
          <w:sz w:val="21"/>
          <w:szCs w:val="21"/>
          <w:highlight w:val="none"/>
        </w:rPr>
      </w:pPr>
      <w:r/>
      <w:bookmarkStart w:id="88" w:name="_Hlt26668975"/>
      <w:r/>
      <w:bookmarkEnd w:id="88"/>
      <w:r/>
      <w:bookmarkStart w:id="89" w:name="_Hlt26670360"/>
      <w:r/>
      <w:bookmarkEnd w:id="89"/>
      <w:r/>
      <w:bookmarkStart w:id="90" w:name="_Hlt26954838"/>
      <w:r/>
      <w:bookmarkEnd w:id="90"/>
      <w:r/>
      <w:bookmarkStart w:id="91" w:name="_Toc14577357"/>
      <w:r/>
      <w:bookmarkStart w:id="92" w:name="_Toc49090509"/>
      <w:r/>
      <w:bookmarkStart w:id="93" w:name="_Toc513029219"/>
      <w:r/>
      <w:bookmarkStart w:id="94" w:name="_Toc49090507"/>
      <w:r/>
      <w:bookmarkStart w:id="95" w:name="_Toc14577354"/>
      <w:r/>
      <w:bookmarkStart w:id="96" w:name="_Toc513029216"/>
      <w:r/>
      <w:bookmarkStart w:id="97" w:name="_Toc14577355"/>
      <w:r/>
      <w:bookmarkStart w:id="98" w:name="_Toc49090508"/>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如标书制作工具中格式和内容与“</w:t>
      </w:r>
      <w:r>
        <w:rPr>
          <w:rFonts w:hint="eastAsia" w:ascii="宋体" w:hAnsi="宋体" w:eastAsia="宋体" w:cs="宋体"/>
          <w:color w:val="auto"/>
          <w:sz w:val="21"/>
          <w:szCs w:val="21"/>
          <w:highlight w:val="none"/>
          <w:lang w:val="en-US" w:eastAsia="zh-CN"/>
        </w:rPr>
        <w:t xml:space="preserve">江苏政府采购网、苏州市政府采购网</w:t>
      </w:r>
      <w:r>
        <w:rPr>
          <w:rFonts w:hint="eastAsia" w:ascii="宋体" w:hAnsi="宋体" w:eastAsia="宋体" w:cs="宋体"/>
          <w:color w:val="auto"/>
          <w:sz w:val="21"/>
          <w:szCs w:val="21"/>
          <w:highlight w:val="none"/>
        </w:rPr>
        <w:t xml:space="preserve">”发布的磋商文件不一致，请以“</w:t>
      </w:r>
      <w:r>
        <w:rPr>
          <w:rFonts w:hint="eastAsia" w:ascii="宋体" w:hAnsi="宋体" w:eastAsia="宋体" w:cs="宋体"/>
          <w:color w:val="auto"/>
          <w:sz w:val="21"/>
          <w:szCs w:val="21"/>
          <w:highlight w:val="none"/>
          <w:lang w:val="en-US" w:eastAsia="zh-CN"/>
        </w:rPr>
        <w:t xml:space="preserve">江苏政府采购网、苏州市政府采购网</w:t>
      </w:r>
      <w:r>
        <w:rPr>
          <w:rFonts w:hint="eastAsia" w:ascii="宋体" w:hAnsi="宋体" w:eastAsia="宋体" w:cs="宋体"/>
          <w:color w:val="auto"/>
          <w:sz w:val="21"/>
          <w:szCs w:val="21"/>
          <w:highlight w:val="none"/>
        </w:rPr>
        <w:t xml:space="preserve">”发布的磋商文件为准。</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11、证明磋商响应标的符合磋商文件规定的文件</w:t>
      </w:r>
      <w:bookmarkEnd w:id="91"/>
      <w:r/>
      <w:bookmarkEnd w:id="92"/>
      <w:r/>
      <w:bookmarkEnd w:id="93"/>
      <w:r/>
      <w:bookmarkEnd w:id="94"/>
      <w:r/>
      <w:bookmarkEnd w:id="95"/>
      <w:r/>
      <w:bookmarkEnd w:id="9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11.1供应商应按照磋商文件要求提交证明文件，证明其及磋商响应标的符合磋商文件规定。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11.2磋商文件对证明文件无明确形式要求的，证明文件可以以文字资料、图纸和数据等形式提交。</w:t>
      </w:r>
      <w:bookmarkEnd w:id="97"/>
      <w:r/>
      <w:bookmarkEnd w:id="98"/>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12、分项报价表</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w:t>
      </w:r>
      <w:r>
        <w:rPr>
          <w:rFonts w:hint="eastAsia" w:ascii="宋体" w:hAnsi="宋体" w:eastAsia="宋体" w:cs="宋体"/>
          <w:color w:val="auto"/>
          <w:sz w:val="21"/>
          <w:szCs w:val="21"/>
          <w:highlight w:val="none"/>
        </w:rPr>
        <w:t xml:space="preserve">供应商应按照磋商文件规定格式填报分项报价表。</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12.2</w:t>
      </w:r>
      <w:r>
        <w:rPr>
          <w:rFonts w:hint="eastAsia" w:ascii="宋体" w:hAnsi="宋体" w:eastAsia="宋体" w:cs="宋体"/>
          <w:bCs/>
          <w:color w:val="auto"/>
          <w:sz w:val="21"/>
          <w:szCs w:val="21"/>
          <w:highlight w:val="none"/>
        </w:rPr>
        <w:t xml:space="preserve">磋商货币。响应文件中的单价和总价无特殊规定的采用人民币报价，以元为单位标注。</w:t>
      </w:r>
      <w:r>
        <w:rPr>
          <w:rFonts w:hint="eastAsia" w:ascii="宋体" w:hAnsi="宋体" w:eastAsia="宋体" w:cs="宋体"/>
          <w:color w:val="auto"/>
          <w:sz w:val="21"/>
          <w:szCs w:val="21"/>
          <w:highlight w:val="none"/>
        </w:rPr>
        <w:t xml:space="preserve">磋商文件中另有规定的按规定执行。</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99" w:name="_Hlt26670486"/>
      <w:r/>
      <w:bookmarkEnd w:id="99"/>
      <w:r/>
      <w:bookmarkStart w:id="100" w:name="_Hlt26670482"/>
      <w:r/>
      <w:bookmarkEnd w:id="100"/>
      <w:r/>
      <w:bookmarkStart w:id="101" w:name="_Hlt26954846"/>
      <w:r/>
      <w:bookmarkEnd w:id="101"/>
      <w:r/>
      <w:bookmarkStart w:id="102" w:name="_Hlt26954848"/>
      <w:r/>
      <w:bookmarkEnd w:id="102"/>
      <w:r/>
      <w:bookmarkStart w:id="103" w:name="_Hlt26954731"/>
      <w:r/>
      <w:bookmarkEnd w:id="103"/>
      <w:r>
        <w:rPr>
          <w:rFonts w:hint="eastAsia" w:ascii="宋体" w:hAnsi="宋体" w:eastAsia="宋体" w:cs="宋体"/>
          <w:color w:val="auto"/>
          <w:sz w:val="21"/>
          <w:szCs w:val="21"/>
          <w:highlight w:val="none"/>
        </w:rPr>
        <w:t xml:space="preserve">13、技术要求响应及偏离表、商务要求响应及偏离表</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13.1</w:t>
      </w:r>
      <w:r>
        <w:rPr>
          <w:rFonts w:hint="eastAsia" w:ascii="宋体" w:hAnsi="宋体" w:eastAsia="宋体" w:cs="宋体"/>
          <w:color w:val="auto"/>
          <w:sz w:val="21"/>
          <w:szCs w:val="21"/>
          <w:highlight w:val="none"/>
          <w:lang w:val="zh-CN"/>
        </w:rPr>
        <w:t xml:space="preserve">供应商需对磋商文件中的技术要求与商务要求逐项作出响应或偏离，并说明原因。</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13.2供应商可在响应文件中提供认为需要的其他技术文件或说明。</w:t>
      </w:r>
      <w:r/>
    </w:p>
    <w:p>
      <w:pPr>
        <w:ind w:firstLine="420"/>
        <w:jc w:val="left"/>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1"/>
          <w:szCs w:val="21"/>
          <w:highlight w:val="none"/>
        </w:rPr>
        <w:t xml:space="preserve">14、供应商需根据磋商文件要求提供</w:t>
      </w:r>
      <w:r>
        <w:rPr>
          <w:rFonts w:hint="eastAsia" w:ascii="宋体" w:hAnsi="宋体" w:eastAsia="宋体" w:cs="宋体"/>
          <w:color w:val="auto"/>
          <w:sz w:val="21"/>
          <w:szCs w:val="21"/>
          <w:highlight w:val="none"/>
          <w:lang w:val="zh-CN"/>
        </w:rPr>
        <w:t xml:space="preserve">磋商响应标的</w:t>
      </w:r>
      <w:r>
        <w:rPr>
          <w:rFonts w:hint="eastAsia" w:ascii="宋体" w:hAnsi="宋体" w:eastAsia="宋体" w:cs="宋体"/>
          <w:b w:val="0"/>
          <w:bCs/>
          <w:color w:val="auto"/>
          <w:sz w:val="21"/>
          <w:szCs w:val="21"/>
          <w:highlight w:val="none"/>
        </w:rPr>
        <w:t xml:space="preserve">对项目所在区域等基本情况的理解</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对本项目具体情况的理解，包括工程目标和任务的理解和把握、总体思路是否与目标相适应等</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本项目工作方法及技术路线</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本项目的重点、难点及应对措施</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工作进度计划安排与质量保证措施</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服务承诺及后续服务安排</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档案管理制度</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岗位责任、管理运作制度、工作人员考核制度</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团队配置、综合履约能力等。</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04" w:name="_Toc49090510"/>
      <w:r/>
      <w:bookmarkStart w:id="105" w:name="_Toc14577359"/>
      <w:r>
        <w:rPr>
          <w:rFonts w:hint="eastAsia" w:ascii="宋体" w:hAnsi="宋体" w:eastAsia="宋体" w:cs="宋体"/>
          <w:color w:val="auto"/>
          <w:sz w:val="21"/>
          <w:szCs w:val="21"/>
          <w:highlight w:val="none"/>
        </w:rPr>
        <w:t xml:space="preserve">15、磋商响应函</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15.1</w:t>
      </w:r>
      <w:r>
        <w:rPr>
          <w:rFonts w:hint="eastAsia" w:ascii="宋体" w:hAnsi="宋体" w:eastAsia="宋体" w:cs="宋体"/>
          <w:color w:val="auto"/>
          <w:sz w:val="21"/>
          <w:szCs w:val="21"/>
          <w:highlight w:val="none"/>
        </w:rPr>
        <w:t xml:space="preserve">供应商应按照磋商文件中提供的格式完整、正确填写磋商响应函。</w:t>
      </w:r>
      <w:bookmarkEnd w:id="104"/>
      <w:r/>
      <w:bookmarkEnd w:id="105"/>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06" w:name="_Toc14577360"/>
      <w:r/>
      <w:bookmarkStart w:id="107" w:name="_Toc49090511"/>
      <w:r>
        <w:rPr>
          <w:rFonts w:hint="eastAsia" w:ascii="宋体" w:hAnsi="宋体" w:eastAsia="宋体" w:cs="宋体"/>
          <w:color w:val="auto"/>
          <w:sz w:val="21"/>
          <w:szCs w:val="21"/>
          <w:highlight w:val="none"/>
        </w:rPr>
        <w:t xml:space="preserve">16、磋商有效期</w:t>
      </w:r>
      <w:bookmarkEnd w:id="106"/>
      <w:r/>
      <w:bookmarkEnd w:id="107"/>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16.1磋商有效期为</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规定的提交响应文件截止之日后</w:t>
      </w:r>
      <w:r>
        <w:rPr>
          <w:rFonts w:hint="eastAsia" w:ascii="宋体" w:hAnsi="宋体" w:eastAsia="宋体" w:cs="宋体"/>
          <w:b/>
          <w:color w:val="auto"/>
          <w:sz w:val="21"/>
          <w:szCs w:val="21"/>
          <w:highlight w:val="none"/>
          <w:u w:val="single"/>
          <w:lang w:val="en-US" w:eastAsia="zh-CN"/>
        </w:rPr>
        <w:t xml:space="preserve">九</w:t>
      </w:r>
      <w:r>
        <w:rPr>
          <w:rFonts w:hint="eastAsia" w:ascii="宋体" w:hAnsi="宋体" w:eastAsia="宋体" w:cs="宋体"/>
          <w:b/>
          <w:color w:val="auto"/>
          <w:sz w:val="21"/>
          <w:szCs w:val="21"/>
          <w:highlight w:val="none"/>
          <w:u w:val="single"/>
        </w:rPr>
        <w:t xml:space="preserve">十（</w:t>
      </w:r>
      <w:r>
        <w:rPr>
          <w:rFonts w:hint="eastAsia" w:ascii="宋体" w:hAnsi="宋体" w:eastAsia="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0）天</w:t>
      </w:r>
      <w:r>
        <w:rPr>
          <w:rFonts w:hint="eastAsia" w:ascii="宋体" w:hAnsi="宋体" w:eastAsia="宋体" w:cs="宋体"/>
          <w:bCs/>
          <w:color w:val="auto"/>
          <w:sz w:val="21"/>
          <w:szCs w:val="21"/>
          <w:highlight w:val="none"/>
        </w:rPr>
        <w:t xml:space="preserve">。磋商有效期比规定短的将被视为非实质性响应磋商文件而予以拒绝。</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17、磋商有效期的延长</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17.1在特殊情况下，</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1"/>
          <w:szCs w:val="21"/>
          <w:highlight w:val="none"/>
        </w:rPr>
        <w:t xml:space="preserve">受磋商有效期约束的所有权利与义务均延长至新的有效期</w:t>
      </w:r>
      <w:r>
        <w:rPr>
          <w:rFonts w:hint="eastAsia" w:ascii="宋体" w:hAnsi="宋体" w:eastAsia="宋体" w:cs="宋体"/>
          <w:bCs/>
          <w:color w:val="auto"/>
          <w:sz w:val="21"/>
          <w:szCs w:val="21"/>
          <w:highlight w:val="none"/>
        </w:rPr>
        <w:t xml:space="preserve">。</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108" w:name="_Hlt26954852"/>
      <w:r/>
      <w:bookmarkEnd w:id="108"/>
      <w:r/>
      <w:bookmarkStart w:id="109" w:name="_Hlt26954739"/>
      <w:r/>
      <w:bookmarkEnd w:id="109"/>
      <w:r/>
      <w:bookmarkStart w:id="110" w:name="_Toc513029224"/>
      <w:r/>
      <w:bookmarkStart w:id="111" w:name="_Toc16938540"/>
      <w:r/>
      <w:bookmarkStart w:id="112" w:name="_Toc120614217"/>
      <w:r/>
      <w:bookmarkStart w:id="113" w:name="_Toc20823296"/>
      <w:r>
        <w:rPr>
          <w:rFonts w:hint="eastAsia" w:ascii="宋体" w:hAnsi="宋体" w:eastAsia="宋体" w:cs="宋体"/>
          <w:b/>
          <w:bCs/>
          <w:color w:val="auto"/>
          <w:sz w:val="21"/>
          <w:szCs w:val="21"/>
          <w:highlight w:val="none"/>
        </w:rPr>
        <w:t xml:space="preserve">四、响应文件的递交</w:t>
      </w:r>
      <w:bookmarkEnd w:id="110"/>
      <w:r/>
      <w:bookmarkEnd w:id="111"/>
      <w:r/>
      <w:bookmarkEnd w:id="112"/>
      <w:r/>
      <w:bookmarkEnd w:id="113"/>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14" w:name="_Toc20823297"/>
      <w:r/>
      <w:bookmarkStart w:id="115" w:name="_Toc513029225"/>
      <w:r/>
      <w:bookmarkStart w:id="116" w:name="_Toc462564084"/>
      <w:r/>
      <w:bookmarkStart w:id="117" w:name="_Toc16938541"/>
      <w:r>
        <w:rPr>
          <w:rFonts w:hint="eastAsia" w:ascii="宋体" w:hAnsi="宋体" w:eastAsia="宋体" w:cs="宋体"/>
          <w:color w:val="auto"/>
          <w:sz w:val="21"/>
          <w:szCs w:val="21"/>
          <w:highlight w:val="none"/>
        </w:rPr>
        <w:t xml:space="preserve">18、电子磋商</w:t>
      </w:r>
      <w:bookmarkEnd w:id="114"/>
      <w:r/>
      <w:bookmarkEnd w:id="115"/>
      <w:r/>
      <w:bookmarkEnd w:id="116"/>
      <w:r/>
      <w:bookmarkEnd w:id="117"/>
      <w:r>
        <w:rPr>
          <w:rFonts w:hint="eastAsia" w:ascii="宋体" w:hAnsi="宋体" w:eastAsia="宋体" w:cs="宋体"/>
          <w:color w:val="auto"/>
          <w:sz w:val="21"/>
          <w:szCs w:val="21"/>
          <w:highlight w:val="none"/>
        </w:rPr>
        <w:t xml:space="preserve">响应文件的递交</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18.1供应商应当按照《操作手册》规定，在提交响应文件截止时间前制作并上传电子响应文件。</w:t>
      </w:r>
      <w:bookmarkStart w:id="118" w:name="_Toc20823298"/>
      <w:r/>
      <w:bookmarkStart w:id="119" w:name="_Toc16938542"/>
      <w:r/>
      <w:bookmarkStart w:id="120" w:name="_Toc513029226"/>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19、提交响应文件截止时间</w:t>
      </w:r>
      <w:bookmarkEnd w:id="118"/>
      <w:r/>
      <w:bookmarkEnd w:id="119"/>
      <w:r/>
      <w:bookmarkEnd w:id="120"/>
      <w:r/>
      <w:r/>
    </w:p>
    <w:p>
      <w:pPr>
        <w:ind w:firstLine="420"/>
        <w:pageBreakBefore w:val="0"/>
        <w:spacing w:line="360" w:lineRule="auto"/>
        <w:rPr>
          <w:rFonts w:hint="eastAsia" w:ascii="宋体" w:hAnsi="宋体" w:eastAsia="宋体" w:cs="宋体"/>
          <w:b/>
          <w:bCs w:val="0"/>
          <w:i w:val="0"/>
          <w:iCs/>
          <w:color w:val="auto"/>
          <w:sz w:val="21"/>
          <w:szCs w:val="21"/>
          <w:highlight w:val="none"/>
          <w:u w:val="none"/>
        </w:rPr>
      </w:pPr>
      <w:r>
        <w:rPr>
          <w:rFonts w:hint="eastAsia" w:ascii="宋体" w:hAnsi="宋体" w:eastAsia="宋体" w:cs="宋体"/>
          <w:b/>
          <w:bCs w:val="0"/>
          <w:i w:val="0"/>
          <w:iCs/>
          <w:color w:val="auto"/>
          <w:sz w:val="21"/>
          <w:szCs w:val="21"/>
          <w:highlight w:val="none"/>
          <w:u w:val="none"/>
        </w:rPr>
        <w:t xml:space="preserve">19.1供应商上传电子响应文件的时间不得迟于磋商公告中规定的提交响应文件截止时间。</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19.2</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21" w:name="_Toc513029227"/>
      <w:r/>
      <w:bookmarkStart w:id="122" w:name="_Toc20823299"/>
      <w:r/>
      <w:bookmarkStart w:id="123" w:name="_Toc16938543"/>
      <w:r>
        <w:rPr>
          <w:rFonts w:hint="eastAsia" w:ascii="宋体" w:hAnsi="宋体" w:eastAsia="宋体" w:cs="宋体"/>
          <w:color w:val="auto"/>
          <w:sz w:val="21"/>
          <w:szCs w:val="21"/>
          <w:highlight w:val="none"/>
        </w:rPr>
        <w:t xml:space="preserve">20、响应文件</w:t>
      </w:r>
      <w:bookmarkEnd w:id="121"/>
      <w:r/>
      <w:bookmarkEnd w:id="122"/>
      <w:r/>
      <w:bookmarkEnd w:id="123"/>
      <w:r>
        <w:rPr>
          <w:rFonts w:hint="eastAsia" w:ascii="宋体" w:hAnsi="宋体" w:eastAsia="宋体" w:cs="宋体"/>
          <w:color w:val="auto"/>
          <w:sz w:val="21"/>
          <w:szCs w:val="21"/>
          <w:highlight w:val="none"/>
        </w:rPr>
        <w:t xml:space="preserve">的拒收</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拒绝接收在其规定的提交响应文件截止时间后上传的任何电子响应文件。</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24" w:name="_Toc513029228"/>
      <w:r/>
      <w:bookmarkStart w:id="125" w:name="_Toc20823300"/>
      <w:r/>
      <w:bookmarkStart w:id="126" w:name="_Toc16938544"/>
      <w:r>
        <w:rPr>
          <w:rFonts w:hint="eastAsia" w:ascii="宋体" w:hAnsi="宋体" w:eastAsia="宋体" w:cs="宋体"/>
          <w:color w:val="auto"/>
          <w:sz w:val="21"/>
          <w:szCs w:val="21"/>
          <w:highlight w:val="none"/>
        </w:rPr>
        <w:t xml:space="preserve">21、响应文件的撤回和修改</w:t>
      </w:r>
      <w:bookmarkEnd w:id="124"/>
      <w:r/>
      <w:bookmarkEnd w:id="125"/>
      <w:r/>
      <w:bookmarkEnd w:id="12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21.1响应文件的撤回</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 电子响应文件的撤回</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w:t>
      </w:r>
      <w:r>
        <w:rPr>
          <w:rFonts w:hint="eastAsia" w:ascii="宋体" w:hAnsi="宋体" w:eastAsia="宋体" w:cs="宋体"/>
          <w:bCs/>
          <w:color w:val="auto"/>
          <w:sz w:val="21"/>
          <w:szCs w:val="21"/>
          <w:highlight w:val="none"/>
        </w:rPr>
        <w:t xml:space="preserve">提交响应文件</w:t>
      </w:r>
      <w:r>
        <w:rPr>
          <w:rFonts w:hint="eastAsia" w:ascii="宋体" w:hAnsi="宋体" w:eastAsia="宋体" w:cs="宋体"/>
          <w:color w:val="auto"/>
          <w:sz w:val="21"/>
          <w:szCs w:val="21"/>
          <w:highlight w:val="none"/>
        </w:rPr>
        <w:t xml:space="preserve">截止时间前，撤回其电子响应文件，具体操作方法见《操作手册》。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21.1.2供应商撤回电子响应文件，则认为其不再参与本项目磋商活动。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21.2响应文件的修改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w:t>
      </w:r>
      <w:r>
        <w:rPr>
          <w:rFonts w:hint="eastAsia" w:ascii="宋体" w:hAnsi="宋体" w:eastAsia="宋体" w:cs="宋体"/>
          <w:bCs/>
          <w:color w:val="auto"/>
          <w:sz w:val="21"/>
          <w:szCs w:val="21"/>
          <w:highlight w:val="none"/>
        </w:rPr>
        <w:t xml:space="preserve">提交响应文件</w:t>
      </w:r>
      <w:r>
        <w:rPr>
          <w:rFonts w:hint="eastAsia" w:ascii="宋体" w:hAnsi="宋体" w:eastAsia="宋体" w:cs="宋体"/>
          <w:color w:val="auto"/>
          <w:sz w:val="21"/>
          <w:szCs w:val="21"/>
          <w:highlight w:val="none"/>
        </w:rPr>
        <w:t xml:space="preserve">截止时间前，对其电子响应文件进行修改，具体操作方法见《操作手册》。</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bCs/>
          <w:color w:val="auto"/>
          <w:sz w:val="21"/>
          <w:szCs w:val="21"/>
          <w:highlight w:val="none"/>
        </w:rPr>
        <w:t xml:space="preserve"> 在提交响应文件截止时间之后，供应商不得对其电子响应文件作任何修改。</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bCs/>
          <w:color w:val="auto"/>
          <w:sz w:val="21"/>
          <w:szCs w:val="21"/>
          <w:highlight w:val="none"/>
        </w:rPr>
        <w:t xml:space="preserve"> 在提交响应文件截止时间至磋商文件中规定的磋商有效期满之间的这段时间内，供应商不得撤回其响应文件。</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127" w:name="_Toc20823301"/>
      <w:r/>
      <w:bookmarkStart w:id="128" w:name="_Toc120614218"/>
      <w:r/>
      <w:bookmarkStart w:id="129" w:name="_Toc16938545"/>
      <w:r/>
      <w:bookmarkStart w:id="130" w:name="_Toc513029229"/>
      <w:r>
        <w:rPr>
          <w:rFonts w:hint="eastAsia" w:ascii="宋体" w:hAnsi="宋体" w:eastAsia="宋体" w:cs="宋体"/>
          <w:b/>
          <w:bCs/>
          <w:color w:val="auto"/>
          <w:sz w:val="21"/>
          <w:szCs w:val="21"/>
          <w:highlight w:val="none"/>
        </w:rPr>
        <w:t xml:space="preserve">五、响应文件的解密与评审</w:t>
      </w:r>
      <w:bookmarkEnd w:id="127"/>
      <w:r/>
      <w:bookmarkEnd w:id="128"/>
      <w:r/>
      <w:bookmarkEnd w:id="129"/>
      <w:r/>
      <w:bookmarkEnd w:id="130"/>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31" w:name="_Toc513029230"/>
      <w:r/>
      <w:bookmarkStart w:id="132" w:name="_Toc20823302"/>
      <w:r/>
      <w:bookmarkStart w:id="133" w:name="_Toc16938546"/>
      <w:r>
        <w:rPr>
          <w:rFonts w:hint="eastAsia" w:ascii="宋体" w:hAnsi="宋体" w:eastAsia="宋体" w:cs="宋体"/>
          <w:color w:val="auto"/>
          <w:sz w:val="21"/>
          <w:szCs w:val="21"/>
          <w:highlight w:val="none"/>
        </w:rPr>
        <w:t xml:space="preserve">22、</w:t>
      </w:r>
      <w:bookmarkEnd w:id="131"/>
      <w:r/>
      <w:bookmarkEnd w:id="132"/>
      <w:r/>
      <w:bookmarkEnd w:id="133"/>
      <w:r>
        <w:rPr>
          <w:rFonts w:hint="eastAsia" w:ascii="宋体" w:hAnsi="宋体" w:eastAsia="宋体" w:cs="宋体"/>
          <w:color w:val="auto"/>
          <w:sz w:val="21"/>
          <w:szCs w:val="21"/>
          <w:highlight w:val="none"/>
        </w:rPr>
        <w:t xml:space="preserve">响应文件解密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22.1供应商应当按照《操作手册》规定，在苏采云系统规定的时间内对磋商响应文件进行解密。</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34" w:name="_Toc20823303"/>
      <w:r/>
      <w:bookmarkStart w:id="135" w:name="_Toc513029231"/>
      <w:r/>
      <w:bookmarkStart w:id="136" w:name="_Toc16938547"/>
      <w:r>
        <w:rPr>
          <w:rFonts w:hint="eastAsia" w:ascii="宋体" w:hAnsi="宋体" w:eastAsia="宋体" w:cs="宋体"/>
          <w:color w:val="auto"/>
          <w:sz w:val="21"/>
          <w:szCs w:val="21"/>
          <w:highlight w:val="none"/>
        </w:rPr>
        <w:t xml:space="preserve">23、磋商小组</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23.1</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将组织磋商小组对响应文件进行评审。磋商小组由采购人代表和有关技术、经济等方面的专家组成，且人员构成符合政府采购有关规定。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23.2磋商小组独立工作，负责评审所有响应文件并确定成交</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24、评审过程的保密与公正</w:t>
      </w:r>
      <w:bookmarkEnd w:id="134"/>
      <w:r/>
      <w:bookmarkEnd w:id="135"/>
      <w:r/>
      <w:bookmarkEnd w:id="136"/>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24.1</w:t>
      </w:r>
      <w:r>
        <w:rPr>
          <w:rFonts w:hint="eastAsia" w:ascii="宋体" w:hAnsi="宋体" w:eastAsia="宋体" w:cs="宋体"/>
          <w:bCs/>
          <w:color w:val="auto"/>
          <w:sz w:val="21"/>
          <w:szCs w:val="21"/>
          <w:highlight w:val="none"/>
        </w:rPr>
        <w:t xml:space="preserve">磋商小组、采购人和</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工作人员、相关监督人员等与评审工作有关的人员，对评审情况以及在评审过程中获悉的国家秘密、商业秘密负有保密责任。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24.2在评审过程中，供应商不得以任何行为影响磋商评审过程，否则其响应文件将被作为无效响应文件。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24.3在项目评审期间，</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将设专门人员与供应商联系。</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 </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和磋商小组不向未成交的供应商解释未成交原因，也不公布评审过程中的相关细节。</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37" w:name="_Toc513029232"/>
      <w:r/>
      <w:bookmarkStart w:id="138" w:name="_Toc16938548"/>
      <w:r/>
      <w:bookmarkStart w:id="139" w:name="_Toc20823304"/>
      <w:r>
        <w:rPr>
          <w:rFonts w:hint="eastAsia" w:ascii="宋体" w:hAnsi="宋体" w:eastAsia="宋体" w:cs="宋体"/>
          <w:color w:val="auto"/>
          <w:sz w:val="21"/>
          <w:szCs w:val="21"/>
          <w:highlight w:val="none"/>
        </w:rPr>
        <w:t xml:space="preserve">25、评审过程中的澄清</w:t>
      </w:r>
      <w:bookmarkEnd w:id="137"/>
      <w:r/>
      <w:bookmarkEnd w:id="138"/>
      <w:r/>
      <w:bookmarkEnd w:id="13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磋商小组并非对每个供应商都作澄清要求。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接到磋商小组澄清、说明和更正要求的供应商如未按规定做出澄清、说明和 更正，其风险由供应商自行承担。</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bookmarkStart w:id="140" w:name="_Toc20823305"/>
      <w:r/>
      <w:bookmarkStart w:id="141" w:name="_Toc513029233"/>
      <w:r/>
      <w:bookmarkStart w:id="142" w:name="_Toc16938549"/>
      <w:r>
        <w:rPr>
          <w:rFonts w:hint="eastAsia" w:ascii="宋体" w:hAnsi="宋体" w:eastAsia="宋体" w:cs="宋体"/>
          <w:color w:val="auto"/>
          <w:sz w:val="21"/>
          <w:szCs w:val="21"/>
          <w:highlight w:val="none"/>
        </w:rPr>
        <w:t xml:space="preserve">26、对响应文件的审</w:t>
      </w:r>
      <w:bookmarkEnd w:id="140"/>
      <w:r/>
      <w:bookmarkEnd w:id="141"/>
      <w:r/>
      <w:bookmarkEnd w:id="142"/>
      <w:r>
        <w:rPr>
          <w:rFonts w:hint="eastAsia" w:ascii="宋体" w:hAnsi="宋体" w:eastAsia="宋体" w:cs="宋体"/>
          <w:color w:val="auto"/>
          <w:sz w:val="21"/>
          <w:szCs w:val="21"/>
          <w:highlight w:val="none"/>
        </w:rPr>
        <w:t xml:space="preserve">查</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bCs/>
          <w:color w:val="auto"/>
          <w:sz w:val="21"/>
          <w:szCs w:val="21"/>
          <w:highlight w:val="none"/>
        </w:rPr>
        <w:t xml:space="preserve">响应文件审查分为资格审查和符合性审查。</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资格审查：由磋商小组依据法律法规和磋商文件的规定，对响应文件中的资格证明文件进行审查，以确定供应商是否具备参加磋商的资格。</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查询结果留存并归档。</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联合体成员中任何一方存在不良信用记录的，视同联合体存在不良应用记录。</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 未通过资格审查或符合性审查的供应商，磋商小组将在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中告知未通过资格审查或符合性审查的原因，评审结束后，磋商小组将不再告知未通过资格审查或符合性审查的原因。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26.3未实质性响应磋商文件的情形</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26.3.1供应商在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规定的时间内未成功解密电子响应文件的。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26.3.2供应商未按照磋商文件要求上传电子响应文件的。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26.3.3同一供应商提交两个（含两个）以上不同的响应文件或者最后报价的。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26.3.4供应商不具备磋商文件中规定资格要求的。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26.3.5供应商的最后报价超过了采购预算。</w:t>
      </w:r>
      <w:r/>
    </w:p>
    <w:p>
      <w:pPr>
        <w:ind w:firstLine="420"/>
        <w:pageBreakBefore w:val="0"/>
        <w:spacing w:line="360" w:lineRule="auto"/>
        <w:rPr>
          <w:rFonts w:hint="eastAsia" w:ascii="宋体" w:hAnsi="宋体" w:eastAsia="宋体" w:cs="宋体"/>
          <w:bCs/>
          <w:i w:val="0"/>
          <w:iCs/>
          <w:color w:val="auto"/>
          <w:sz w:val="21"/>
          <w:szCs w:val="21"/>
          <w:highlight w:val="none"/>
          <w:u w:val="none"/>
          <w:lang w:eastAsia="zh-CN"/>
        </w:rPr>
      </w:pPr>
      <w:r>
        <w:rPr>
          <w:rFonts w:hint="eastAsia" w:ascii="宋体" w:hAnsi="宋体" w:eastAsia="宋体" w:cs="宋体"/>
          <w:bCs/>
          <w:color w:val="auto"/>
          <w:sz w:val="21"/>
          <w:szCs w:val="21"/>
          <w:highlight w:val="none"/>
        </w:rPr>
        <w:t xml:space="preserve">26.3.6不符合磋商文件中规定的实质性要求和条件的</w:t>
      </w:r>
      <w:r>
        <w:rPr>
          <w:rFonts w:hint="eastAsia" w:ascii="宋体" w:hAnsi="宋体" w:eastAsia="宋体" w:cs="宋体"/>
          <w:bCs/>
          <w:i w:val="0"/>
          <w:iCs/>
          <w:color w:val="auto"/>
          <w:sz w:val="21"/>
          <w:szCs w:val="21"/>
          <w:highlight w:val="none"/>
          <w:u w:val="none"/>
          <w:lang w:eastAsia="zh-CN"/>
        </w:rPr>
        <w:t xml:space="preserve">。</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26.3.8  响应文件含有采购人不能接受的附加条件的。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26.3.10响应文件未按照磋商文件要求加盖CA电子公章的。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26.4未实质性响应磋商文件的响应文件按无效响应处理。</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26.5</w:t>
      </w:r>
      <w:r>
        <w:rPr>
          <w:rFonts w:hint="eastAsia" w:ascii="宋体" w:hAnsi="宋体" w:eastAsia="宋体" w:cs="宋体"/>
          <w:bCs/>
          <w:color w:val="auto"/>
          <w:sz w:val="21"/>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20"/>
        <w:pageBreakBefore w:val="0"/>
        <w:spacing w:line="360" w:lineRule="auto"/>
        <w:rPr>
          <w:rFonts w:hint="eastAsia" w:ascii="宋体" w:hAnsi="宋体" w:eastAsia="宋体" w:cs="宋体"/>
          <w:color w:val="auto"/>
          <w:sz w:val="21"/>
          <w:szCs w:val="21"/>
          <w:highlight w:val="none"/>
        </w:rPr>
      </w:pPr>
      <w:r/>
      <w:bookmarkStart w:id="143" w:name="_Toc20823306"/>
      <w:r/>
      <w:bookmarkStart w:id="144" w:name="_Toc16938550"/>
      <w:r/>
      <w:bookmarkStart w:id="145" w:name="_Toc513029234"/>
      <w:r>
        <w:rPr>
          <w:rFonts w:hint="eastAsia" w:ascii="宋体" w:hAnsi="宋体" w:eastAsia="宋体" w:cs="宋体"/>
          <w:color w:val="auto"/>
          <w:sz w:val="21"/>
          <w:szCs w:val="21"/>
          <w:highlight w:val="none"/>
        </w:rPr>
        <w:t xml:space="preserve">26.6供应商在项目评审全过程中应保持通讯畅通，并安排专人与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及磋商小组联系。</w:t>
      </w:r>
      <w:r/>
    </w:p>
    <w:p>
      <w:pPr>
        <w:ind w:firstLine="420"/>
        <w:keepLines/>
        <w:keepNext/>
        <w:pageBreakBefore w:val="0"/>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27、</w:t>
      </w:r>
      <w:bookmarkEnd w:id="143"/>
      <w:r/>
      <w:bookmarkEnd w:id="144"/>
      <w:r/>
      <w:bookmarkEnd w:id="145"/>
      <w:r>
        <w:rPr>
          <w:rFonts w:hint="eastAsia" w:ascii="宋体" w:hAnsi="宋体" w:eastAsia="宋体" w:cs="宋体"/>
          <w:color w:val="auto"/>
          <w:sz w:val="21"/>
          <w:szCs w:val="21"/>
          <w:highlight w:val="none"/>
        </w:rPr>
        <w:t xml:space="preserve">磋商程序及评审方法和评审标准</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27.1磋商程序</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最后报价是供应商响应文件的有效组成部分。符合《政府采购竞争性磋商采购方</w:t>
      </w:r>
      <w:r>
        <w:rPr>
          <w:rFonts w:hint="eastAsia" w:ascii="宋体" w:hAnsi="宋体" w:eastAsia="宋体" w:cs="宋体"/>
          <w:color w:val="auto"/>
          <w:sz w:val="21"/>
          <w:szCs w:val="21"/>
          <w:highlight w:val="none"/>
          <w:lang w:eastAsia="zh-CN"/>
        </w:rPr>
        <w:t xml:space="preserve">式管</w:t>
      </w:r>
      <w:r>
        <w:rPr>
          <w:rFonts w:hint="eastAsia" w:ascii="宋体" w:hAnsi="宋体" w:eastAsia="宋体" w:cs="宋体"/>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1"/>
          <w:szCs w:val="21"/>
          <w:highlight w:val="none"/>
          <w:lang w:eastAsia="zh-CN"/>
        </w:rPr>
        <w:t xml:space="preserve">〔2015〕124号</w:t>
      </w:r>
      <w:r>
        <w:rPr>
          <w:rFonts w:hint="eastAsia" w:ascii="宋体" w:hAnsi="宋体" w:eastAsia="宋体" w:cs="宋体"/>
          <w:color w:val="auto"/>
          <w:sz w:val="21"/>
          <w:szCs w:val="21"/>
          <w:highlight w:val="none"/>
        </w:rPr>
        <w:t xml:space="preserve">）规定情形的，提交最后报价的供应商可以为2家。</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否则视为未提交最后报价。已提交响应文件的供应商，在提交最后报价之前，可以根据磋商情况退出磋商，并在苏采云系统中提交“退出磋商函”并加盖CA电子公章。</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 评审方法和评审标准</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27.2.2评审标准</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见本磋商文件第五章规定。</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27.3采购活动终止的情况</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27.3.1因情况变化，不再符合规定的竞争性磋商采购方式适用情形的。</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27.3.2出现影响采购公正的违法、违规行为的。</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27.3.3除本磋商文件第二章第27.1.2条第三款规定的情形外，在采购过程中符合要求的供应商或者最后报价未超过采购预算的供应商不足3家的。</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27.3.4在苏采云系统规定时间内成功解密电子响应文件的供应商不足3家的。</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146" w:name="_Toc513029235"/>
      <w:r/>
      <w:bookmarkStart w:id="147" w:name="_Toc20823307"/>
      <w:r/>
      <w:bookmarkStart w:id="148" w:name="_Toc16938551"/>
      <w:r/>
      <w:bookmarkStart w:id="149" w:name="_Toc120614219"/>
      <w:r>
        <w:rPr>
          <w:rFonts w:hint="eastAsia" w:ascii="宋体" w:hAnsi="宋体" w:eastAsia="宋体" w:cs="宋体"/>
          <w:b/>
          <w:bCs/>
          <w:color w:val="auto"/>
          <w:sz w:val="21"/>
          <w:szCs w:val="21"/>
          <w:highlight w:val="none"/>
        </w:rPr>
        <w:t xml:space="preserve">六、</w:t>
      </w:r>
      <w:bookmarkEnd w:id="146"/>
      <w:r/>
      <w:bookmarkEnd w:id="147"/>
      <w:r/>
      <w:bookmarkEnd w:id="148"/>
      <w:r/>
      <w:bookmarkEnd w:id="149"/>
      <w:r>
        <w:rPr>
          <w:rFonts w:hint="eastAsia" w:ascii="宋体" w:hAnsi="宋体" w:eastAsia="宋体" w:cs="宋体"/>
          <w:b/>
          <w:bCs/>
          <w:color w:val="auto"/>
          <w:sz w:val="21"/>
          <w:szCs w:val="21"/>
          <w:highlight w:val="none"/>
        </w:rPr>
        <w:t xml:space="preserve">成交</w:t>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bookmarkStart w:id="150" w:name="_Toc513029238"/>
      <w:r/>
      <w:bookmarkStart w:id="151" w:name="_Toc16938554"/>
      <w:r/>
      <w:bookmarkStart w:id="152" w:name="_Toc20823310"/>
      <w:r>
        <w:rPr>
          <w:rFonts w:hint="eastAsia" w:ascii="宋体" w:hAnsi="宋体" w:eastAsia="宋体" w:cs="宋体"/>
          <w:bCs/>
          <w:color w:val="auto"/>
          <w:sz w:val="21"/>
          <w:szCs w:val="21"/>
          <w:highlight w:val="none"/>
        </w:rPr>
        <w:t xml:space="preserve">28、</w:t>
      </w:r>
      <w:bookmarkEnd w:id="150"/>
      <w:r>
        <w:rPr>
          <w:rFonts w:hint="eastAsia" w:ascii="宋体" w:hAnsi="宋体" w:eastAsia="宋体" w:cs="宋体"/>
          <w:bCs/>
          <w:color w:val="auto"/>
          <w:sz w:val="21"/>
          <w:szCs w:val="21"/>
          <w:highlight w:val="none"/>
        </w:rPr>
        <w:t xml:space="preserve">确定</w:t>
      </w:r>
      <w:bookmarkEnd w:id="151"/>
      <w:r/>
      <w:bookmarkEnd w:id="152"/>
      <w:r>
        <w:rPr>
          <w:rFonts w:hint="eastAsia" w:ascii="宋体" w:hAnsi="宋体" w:eastAsia="宋体" w:cs="宋体"/>
          <w:bCs/>
          <w:color w:val="auto"/>
          <w:sz w:val="21"/>
          <w:szCs w:val="21"/>
          <w:highlight w:val="none"/>
        </w:rPr>
        <w:t xml:space="preserve">成交单位</w:t>
      </w:r>
      <w:r/>
    </w:p>
    <w:p>
      <w:pPr>
        <w:ind w:firstLine="42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28.1</w:t>
      </w:r>
      <w:r>
        <w:rPr>
          <w:rFonts w:hint="eastAsia" w:ascii="宋体" w:hAnsi="宋体" w:eastAsia="宋体" w:cs="宋体"/>
          <w:color w:val="auto"/>
          <w:sz w:val="21"/>
          <w:szCs w:val="21"/>
          <w:highlight w:val="none"/>
        </w:rPr>
        <w:t xml:space="preserve">磋商小组根据综合评分情况，按照评审得分由高到低顺序推荐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名成交候选供应商，并编写评审报告。评审得分相同的，按照最后报价由低到高的顺序推荐。得分且实际投标报价相同的，则以抽签方式确定</w:t>
      </w:r>
      <w:r>
        <w:rPr>
          <w:rFonts w:hint="eastAsia" w:ascii="宋体" w:hAnsi="宋体" w:eastAsia="宋体" w:cs="宋体"/>
          <w:color w:val="auto"/>
          <w:sz w:val="21"/>
          <w:szCs w:val="21"/>
          <w:highlight w:val="none"/>
          <w:lang w:eastAsia="zh-CN"/>
        </w:rPr>
        <w:t xml:space="preserve">成交人</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28.2采购人确定成交供应商后，</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将在“</w:t>
      </w:r>
      <w:r>
        <w:rPr>
          <w:rFonts w:hint="eastAsia" w:ascii="宋体" w:hAnsi="宋体" w:eastAsia="宋体" w:cs="宋体"/>
          <w:bCs/>
          <w:color w:val="auto"/>
          <w:sz w:val="21"/>
          <w:szCs w:val="21"/>
          <w:highlight w:val="none"/>
          <w:lang w:val="en-US" w:eastAsia="zh-CN"/>
        </w:rPr>
        <w:t xml:space="preserve">苏州市</w:t>
      </w:r>
      <w:r>
        <w:rPr>
          <w:rFonts w:hint="eastAsia" w:ascii="宋体" w:hAnsi="宋体" w:eastAsia="宋体" w:cs="宋体"/>
          <w:bCs/>
          <w:color w:val="auto"/>
          <w:sz w:val="21"/>
          <w:szCs w:val="21"/>
          <w:highlight w:val="none"/>
        </w:rPr>
        <w:t xml:space="preserve">政府采购网”发布成交结果公告，公告期限为1个工作日。</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28.3若有充分证据证明，成交供应商出现下列情况之一的，一经查实，将被取消成交资格：</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28.3.1提供虚假材料谋取成交的。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28.3.2与评审专家、采购人、其他供应商或者</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工作人员恶意串通的。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28.3.3向评审专家、采购人或</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工作人员行贿或者提供其他不正当利益的。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28.3.4恶意竞争，最后报价明显低于其自身合理成本且又无法提供证明的。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28.3.5不满足本磋商文件规定的实质性要求，但在评审过程中又未被磋商小组发现的。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28.3.6成交后无正当理由拒不与采购人签订政府采购合同或者未按照磋商文件确定的事项签订政府采购合同的。</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28.3.7将政府采购合同转包的。</w:t>
      </w:r>
      <w:r/>
    </w:p>
    <w:p>
      <w:pPr>
        <w:ind w:firstLine="420"/>
        <w:pageBreakBefore w:val="0"/>
        <w:spacing w:line="360" w:lineRule="auto"/>
        <w:rPr>
          <w:rFonts w:hint="eastAsia" w:ascii="宋体" w:hAnsi="宋体" w:eastAsia="宋体" w:cs="宋体"/>
          <w:b/>
          <w:bCs w:val="0"/>
          <w:color w:val="auto"/>
          <w:sz w:val="21"/>
          <w:szCs w:val="21"/>
          <w:highlight w:val="none"/>
        </w:rPr>
      </w:pPr>
      <w:r/>
      <w:bookmarkStart w:id="153" w:name="_Toc200451960"/>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8</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8</w:t>
      </w:r>
      <w:r>
        <w:rPr>
          <w:rFonts w:hint="eastAsia" w:ascii="宋体" w:hAnsi="宋体" w:eastAsia="宋体" w:cs="宋体"/>
          <w:b/>
          <w:bCs w:val="0"/>
          <w:color w:val="auto"/>
          <w:sz w:val="21"/>
          <w:szCs w:val="21"/>
          <w:highlight w:val="none"/>
        </w:rPr>
        <w:t xml:space="preserve">不同投标人的</w:t>
      </w:r>
      <w:r>
        <w:rPr>
          <w:rFonts w:hint="eastAsia" w:ascii="宋体" w:hAnsi="宋体" w:cs="宋体"/>
          <w:b/>
          <w:bCs w:val="0"/>
          <w:color w:val="auto"/>
          <w:sz w:val="21"/>
          <w:szCs w:val="21"/>
          <w:highlight w:val="none"/>
          <w:lang w:eastAsia="zh-CN"/>
        </w:rPr>
        <w:t xml:space="preserve">响应文件</w:t>
      </w:r>
      <w:r>
        <w:rPr>
          <w:rFonts w:hint="eastAsia" w:ascii="宋体" w:hAnsi="宋体" w:eastAsia="宋体" w:cs="宋体"/>
          <w:b/>
          <w:bCs w:val="0"/>
          <w:color w:val="auto"/>
          <w:sz w:val="21"/>
          <w:szCs w:val="21"/>
          <w:highlight w:val="none"/>
        </w:rPr>
        <w:t xml:space="preserve">制作机器码一致。</w:t>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29、质疑处理</w:t>
      </w:r>
      <w:bookmarkEnd w:id="15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 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left="420"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29.2.1对可以质疑的采购文件提出质疑的，为收到采购文件之日或者采购文件公告期限届满之日。</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29.2.2对采购过程提出质疑的，为各采购程序环节结束之日。</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29.2.3对成交结果提出质疑的，为成交结果公告期限届满之日。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采购人及</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只接收以纸质原件形式送达的质疑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建议供应商尽量通过邮寄方式提交质疑（采购人和</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不接受未填写快递运单的快件）。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质疑</w:t>
      </w:r>
      <w:r>
        <w:rPr>
          <w:rFonts w:hint="eastAsia" w:ascii="宋体" w:hAnsi="宋体" w:eastAsia="宋体" w:cs="宋体"/>
          <w:color w:val="auto"/>
          <w:sz w:val="21"/>
          <w:szCs w:val="21"/>
          <w:highlight w:val="none"/>
          <w:lang w:val="en-US" w:eastAsia="zh-CN"/>
        </w:rPr>
        <w:t xml:space="preserve">联系人：王慧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eastAsia="zh-CN"/>
        </w:rPr>
        <w:t xml:space="preserve">苏州市南园北路118号天和商务大厦6-206</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0512-65200361</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采购人质疑接收人及联系方式见本磋商文件第一章。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以下情形的质疑不予受理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 内容不符合《政府采购质疑和投诉办法》第十二条规定的质疑。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 超出政府采购法定期限的质疑。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 以传真、电子邮件等方式递交的非原件形式的质疑。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 未参加磋商活动的供应商或在磋商活动中自身权益未受到损害的供应商所提出的质疑。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29.5.5供应商组成联合体参加磋商，联合体中任何一方或多方未按要求签字、盖章、加盖公章的质疑。</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  供应商提出书面质疑必须有理、有据，不得捏造事实、提供虚假材料进行恶意质疑。否则，一经查实，</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30、成交通知书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30.1成交结果确定后，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将向成交供应商发出成交通知书。请成交供应商在成交结果公告届满之日起30日内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因未及时下载而造成的不利后果由成交供应商自行承担。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keepLines/>
        <w:keepNext/>
        <w:pageBreakBefore w:val="0"/>
        <w:spacing w:line="360" w:lineRule="auto"/>
        <w:rPr>
          <w:rFonts w:hint="eastAsia" w:ascii="宋体" w:hAnsi="宋体" w:eastAsia="宋体" w:cs="宋体"/>
          <w:b/>
          <w:bCs/>
          <w:color w:val="auto"/>
          <w:sz w:val="21"/>
          <w:szCs w:val="21"/>
          <w:highlight w:val="none"/>
        </w:rPr>
        <w:outlineLvl w:val="2"/>
      </w:pPr>
      <w:r/>
      <w:bookmarkStart w:id="154" w:name="_Toc120614220"/>
      <w:r/>
      <w:bookmarkStart w:id="155" w:name="_Toc513029236"/>
      <w:r/>
      <w:bookmarkStart w:id="156" w:name="_Toc16938552"/>
      <w:r/>
      <w:bookmarkStart w:id="157" w:name="_Toc20823308"/>
      <w:r>
        <w:rPr>
          <w:rFonts w:hint="eastAsia" w:ascii="宋体" w:hAnsi="宋体" w:eastAsia="宋体" w:cs="宋体"/>
          <w:b/>
          <w:bCs/>
          <w:color w:val="auto"/>
          <w:sz w:val="21"/>
          <w:szCs w:val="21"/>
          <w:highlight w:val="none"/>
        </w:rPr>
        <w:t xml:space="preserve">七、授予合同</w:t>
      </w:r>
      <w:bookmarkEnd w:id="154"/>
      <w:r/>
      <w:bookmarkEnd w:id="155"/>
      <w:r/>
      <w:bookmarkEnd w:id="156"/>
      <w:r/>
      <w:bookmarkEnd w:id="157"/>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bookmarkStart w:id="158" w:name="_Toc513029237"/>
      <w:r/>
      <w:bookmarkStart w:id="159" w:name="_Toc16938553"/>
      <w:r/>
      <w:bookmarkStart w:id="160" w:name="_Toc20823309"/>
      <w:r>
        <w:rPr>
          <w:rFonts w:hint="eastAsia" w:ascii="宋体" w:hAnsi="宋体" w:eastAsia="宋体" w:cs="宋体"/>
          <w:bCs/>
          <w:color w:val="auto"/>
          <w:sz w:val="21"/>
          <w:szCs w:val="21"/>
          <w:highlight w:val="none"/>
        </w:rPr>
        <w:t xml:space="preserve">31. 签订合同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31</w:t>
      </w:r>
      <w:r>
        <w:rPr>
          <w:rFonts w:hint="eastAsia" w:ascii="宋体" w:hAnsi="宋体" w:eastAsia="宋体" w:cs="宋体"/>
          <w:color w:val="auto"/>
          <w:sz w:val="21"/>
          <w:szCs w:val="21"/>
          <w:highlight w:val="none"/>
        </w:rPr>
        <w:t xml:space="preserve">.l成交供应商应当在成交通知书发出之日起三十日内，按照磋商文件确定的事项与采购人签订政府采购合同。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31.2磋商文件、成交供应商的响应文件及磋商过程中有关澄清、承诺文件均应作为合同附件。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 签订合同后，</w:t>
      </w:r>
      <w:r>
        <w:rPr>
          <w:rFonts w:hint="eastAsia" w:ascii="宋体" w:hAnsi="宋体" w:eastAsia="宋体" w:cs="宋体"/>
          <w:i w:val="0"/>
          <w:iCs/>
          <w:color w:val="auto"/>
          <w:sz w:val="21"/>
          <w:szCs w:val="21"/>
          <w:highlight w:val="none"/>
          <w:u w:val="none"/>
        </w:rPr>
        <w:t xml:space="preserve">成交供应商不得将合同标的进行转包</w:t>
      </w:r>
      <w:r>
        <w:rPr>
          <w:rFonts w:hint="eastAsia" w:ascii="宋体" w:hAnsi="宋体" w:eastAsia="宋体" w:cs="宋体"/>
          <w:color w:val="auto"/>
          <w:sz w:val="21"/>
          <w:szCs w:val="21"/>
          <w:highlight w:val="none"/>
        </w:rPr>
        <w:t xml:space="preserve">。未经采购人同意，成交供应商也不得采用分包形式履行合同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否则采购人有权终止合同。转包或分包造成采购人损失的，成交供应商应承担相应赔偿责任。</w:t>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32、标的物的追加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8"/>
      <w:r/>
      <w:bookmarkEnd w:id="159"/>
      <w:r/>
      <w:bookmarkEnd w:id="160"/>
      <w:r/>
      <w:r/>
    </w:p>
    <w:p>
      <w:pPr>
        <w:ind w:firstLine="420"/>
        <w:keepLines/>
        <w:keepNext/>
        <w:pageBreakBefore w:val="0"/>
        <w:spacing w:line="360" w:lineRule="auto"/>
        <w:rPr>
          <w:rFonts w:hint="eastAsia" w:ascii="宋体" w:hAnsi="宋体" w:eastAsia="宋体" w:cs="宋体"/>
          <w:bCs/>
          <w:color w:val="auto"/>
          <w:sz w:val="21"/>
          <w:szCs w:val="21"/>
          <w:highlight w:val="none"/>
        </w:rPr>
        <w:outlineLvl w:val="3"/>
      </w:pPr>
      <w:r/>
      <w:bookmarkStart w:id="161" w:name="_Toc513029242"/>
      <w:r/>
      <w:bookmarkStart w:id="162" w:name="_Toc16938558"/>
      <w:r/>
      <w:bookmarkStart w:id="163" w:name="_Toc479757207"/>
      <w:r/>
      <w:bookmarkStart w:id="164" w:name="_Toc120614221"/>
      <w:r/>
      <w:bookmarkStart w:id="165" w:name="_Toc20823314"/>
      <w:r>
        <w:rPr>
          <w:rFonts w:hint="eastAsia" w:ascii="宋体" w:hAnsi="宋体" w:eastAsia="宋体" w:cs="宋体"/>
          <w:bCs/>
          <w:color w:val="auto"/>
          <w:sz w:val="21"/>
          <w:szCs w:val="21"/>
          <w:highlight w:val="none"/>
        </w:rPr>
        <w:t xml:space="preserve">33、政府采购履约资金扶持政策</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成交供应商可凭政府采购合同办理融资贷款，详情请见江苏政府采购网“政采贷”专栏。</w:t>
      </w:r>
      <w:r/>
    </w:p>
    <w:p>
      <w:pPr>
        <w:pStyle w:val="77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34、</w:t>
      </w:r>
      <w:r>
        <w:rPr>
          <w:rFonts w:hint="eastAsia" w:ascii="宋体" w:hAnsi="宋体" w:cs="宋体"/>
          <w:bCs/>
          <w:color w:val="auto"/>
          <w:sz w:val="21"/>
          <w:szCs w:val="21"/>
          <w:highlight w:val="none"/>
        </w:rPr>
        <w:t xml:space="preserve">未尽事宜：按《中华人民共和国政府采购法》及其他有关的法律法规的规定执行。</w:t>
      </w:r>
      <w:r/>
    </w:p>
    <w:p>
      <w:pPr>
        <w:pStyle w:val="77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5、凡涉及采购文件的补充说明和修改，均以苏州市政府采购网最后发布的内容为准。</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4"/>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75"/>
        <w:rPr>
          <w:color w:val="auto"/>
          <w:highlight w:val="none"/>
        </w:rPr>
      </w:pPr>
      <w:r>
        <w:rPr>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Next/>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第三章  合同</w:t>
      </w:r>
      <w:bookmarkEnd w:id="161"/>
      <w:r/>
      <w:bookmarkEnd w:id="162"/>
      <w:r/>
      <w:bookmarkEnd w:id="163"/>
      <w:r/>
      <w:bookmarkEnd w:id="164"/>
      <w:r/>
      <w:bookmarkEnd w:id="165"/>
      <w:r>
        <w:rPr>
          <w:rFonts w:hint="eastAsia" w:ascii="宋体" w:hAnsi="宋体" w:eastAsia="宋体" w:cs="宋体"/>
          <w:b/>
          <w:bCs w:val="0"/>
          <w:color w:val="auto"/>
          <w:sz w:val="28"/>
          <w:szCs w:val="28"/>
          <w:highlight w:val="none"/>
        </w:rPr>
        <w:t xml:space="preserve">文本</w:t>
      </w:r>
      <w:r/>
    </w:p>
    <w:p>
      <w:pPr>
        <w:ind w:left="0"/>
        <w:jc w:val="center"/>
        <w:rPr>
          <w:rFonts w:hint="eastAsia"/>
          <w:b/>
          <w:color w:val="auto"/>
          <w:sz w:val="32"/>
          <w:szCs w:val="32"/>
          <w:highlight w:val="none"/>
        </w:rPr>
      </w:pPr>
      <w:r/>
      <w:bookmarkStart w:id="166" w:name="_Toc16938559"/>
      <w:r/>
      <w:bookmarkStart w:id="167" w:name="_Toc20823315"/>
      <w:r/>
      <w:bookmarkStart w:id="168" w:name="_Toc513029243"/>
      <w:r/>
      <w:r/>
    </w:p>
    <w:p>
      <w:pPr>
        <w:ind w:left="0"/>
        <w:jc w:val="center"/>
        <w:rPr>
          <w:rFonts w:ascii="宋体" w:hAnsi="宋体"/>
          <w:b/>
          <w:color w:val="auto"/>
          <w:sz w:val="21"/>
          <w:highlight w:val="none"/>
        </w:rPr>
      </w:pPr>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firstLine="480"/>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依据甲方委托苏州捷信招投标咨询有限公司进行本项目政府采购，采购编号为</w:t>
      </w:r>
      <w:r>
        <w:rPr>
          <w:rFonts w:hint="eastAsia" w:ascii="宋体" w:hAnsi="宋体" w:cs="宋体"/>
          <w:bCs/>
          <w:color w:val="auto"/>
          <w:sz w:val="21"/>
          <w:szCs w:val="21"/>
          <w:highlight w:val="none"/>
          <w:lang w:val="en-US" w:eastAsia="zh-CN"/>
        </w:rPr>
        <w:t xml:space="preserve">JSZC-320509-SZJX-C2026-0003</w:t>
      </w:r>
      <w:r>
        <w:rPr>
          <w:rFonts w:hint="eastAsia" w:ascii="宋体" w:hAnsi="宋体" w:eastAsia="宋体" w:cs="宋体"/>
          <w:bCs/>
          <w:color w:val="auto"/>
          <w:sz w:val="21"/>
          <w:szCs w:val="21"/>
          <w:highlight w:val="none"/>
        </w:rPr>
        <w:t xml:space="preserve">的采购结果，确定乙方为本次</w:t>
      </w:r>
      <w:r>
        <w:rPr>
          <w:rFonts w:hint="default" w:ascii="宋体" w:hAnsi="宋体" w:eastAsia="宋体" w:cs="宋体"/>
          <w:bCs/>
          <w:color w:val="auto"/>
          <w:sz w:val="21"/>
          <w:szCs w:val="21"/>
          <w:highlight w:val="none"/>
          <w:u w:val="single"/>
          <w:lang w:val="en-US"/>
        </w:rPr>
        <w:t xml:space="preserve">吴江区2026年度土地征收成片开发方案编制项目</w:t>
      </w:r>
      <w:r>
        <w:rPr>
          <w:rFonts w:hint="eastAsia" w:ascii="宋体" w:hAnsi="宋体" w:eastAsia="宋体" w:cs="宋体"/>
          <w:bCs/>
          <w:color w:val="auto"/>
          <w:sz w:val="21"/>
          <w:szCs w:val="21"/>
          <w:highlight w:val="none"/>
        </w:rPr>
        <w:t xml:space="preserve">的成交供应商，签订本合同书。</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一、服务范围：</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1、乙方提供以下服务：</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（1）本合同项下的服务：</w:t>
      </w:r>
      <w:r>
        <w:rPr>
          <w:rFonts w:hint="default" w:ascii="宋体" w:hAnsi="宋体" w:eastAsia="宋体" w:cs="宋体"/>
          <w:bCs/>
          <w:color w:val="auto"/>
          <w:sz w:val="21"/>
          <w:szCs w:val="21"/>
          <w:highlight w:val="none"/>
          <w:u w:val="single"/>
          <w:lang w:val="en-US"/>
        </w:rPr>
        <w:t xml:space="preserve">吴江区2026年度土地征收成片开发方案编制项目</w:t>
      </w:r>
      <w:r>
        <w:rPr>
          <w:rFonts w:hint="eastAsia" w:ascii="宋体" w:hAnsi="宋体" w:eastAsia="宋体" w:cs="宋体"/>
          <w:bCs/>
          <w:color w:val="auto"/>
          <w:sz w:val="21"/>
          <w:szCs w:val="21"/>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概况：为贯彻落实《土地管理法》和《自然资源部关于印发&lt;土地征收成片开发标准&gt;的通知》（自然资规〔2023〕7号）的有关要求，进一步做好土地征收工作，特此开展我区土地征收成片开发方案编制工作。</w:t>
      </w:r>
      <w:r/>
    </w:p>
    <w:p>
      <w:pPr>
        <w:ind w:left="0" w:firstLine="482"/>
        <w:keepLines w:val="0"/>
        <w:keepNext w:val="0"/>
        <w:pageBreakBefore w:val="0"/>
        <w:spacing w:line="360" w:lineRule="auto"/>
        <w:widowControl w:val="off"/>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（3）项目组织实施时间范围：</w:t>
      </w:r>
      <w:r>
        <w:rPr>
          <w:rFonts w:hint="default" w:ascii="宋体" w:hAnsi="宋体" w:eastAsia="宋体" w:cs="宋体"/>
          <w:bCs/>
          <w:color w:val="auto"/>
          <w:sz w:val="21"/>
          <w:szCs w:val="21"/>
          <w:highlight w:val="none"/>
          <w:lang w:val="en-US"/>
        </w:rPr>
        <w:t xml:space="preserve">自合同签订之日至 2026年 12 月 31 日前完成（具体时间结合省、市上报时间安排，以采购人要求为准，如因政策变化原因造成时间延误，则项目完成时间相应顺延）。</w:t>
      </w:r>
      <w:r>
        <w:rPr>
          <w:rFonts w:hint="eastAsia" w:ascii="宋体" w:hAnsi="宋体" w:eastAsia="宋体" w:cs="宋体"/>
          <w:bCs/>
          <w:color w:val="auto"/>
          <w:sz w:val="21"/>
          <w:szCs w:val="21"/>
          <w:highlight w:val="none"/>
          <w:lang w:val="en-US" w:eastAsia="zh-CN"/>
        </w:rPr>
        <w:t xml:space="preserve">成交人</w:t>
      </w:r>
      <w:r>
        <w:rPr>
          <w:rFonts w:hint="default" w:ascii="宋体" w:hAnsi="宋体" w:eastAsia="宋体" w:cs="宋体"/>
          <w:bCs/>
          <w:color w:val="auto"/>
          <w:sz w:val="21"/>
          <w:szCs w:val="21"/>
          <w:highlight w:val="none"/>
          <w:lang w:val="en-US"/>
        </w:rPr>
        <w:t xml:space="preserve">须将2026年 12 月 31 日前启动编制的片区持续服务至编制完成并上报获批。</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二、下列文件为本合同不可分割部分与本合同具有同等法律效力：</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（1）成交通知书；</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（2）乙方的磋商响应文件；</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（3）政府采购竞争性磋商采购文件及其附件； </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（4）合同附件（如有）；</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（5）乙方在磋商响应过程中所作的其它承诺、声明、书面澄清等。</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三、合同价格及支付：</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w:t>
      </w:r>
      <w:r>
        <w:rPr>
          <w:rFonts w:hint="eastAsia" w:ascii="宋体" w:hAnsi="宋体" w:eastAsia="宋体" w:cs="宋体"/>
          <w:bCs/>
          <w:color w:val="auto"/>
          <w:sz w:val="21"/>
          <w:szCs w:val="21"/>
          <w:highlight w:val="none"/>
          <w:lang w:eastAsia="zh-CN"/>
        </w:rPr>
        <w:t xml:space="preserve">优惠率</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         %，            元/片区</w:t>
      </w:r>
      <w:r>
        <w:rPr>
          <w:rFonts w:hint="eastAsia" w:ascii="宋体" w:hAnsi="宋体" w:eastAsia="宋体" w:cs="宋体"/>
          <w:bCs/>
          <w:color w:val="auto"/>
          <w:sz w:val="21"/>
          <w:szCs w:val="21"/>
          <w:highlight w:val="none"/>
        </w:rPr>
        <w:t xml:space="preserve">，该金额已包括本合同项下税金、交通费、食宿费、差旅费、通讯费、论证费等各项相关费用，结算的实际费用未超过中标金额，则按结算实际费用进行支付；如结算的费用达到或超出预算金额，则按中标金额（</w:t>
      </w:r>
      <w:r>
        <w:rPr>
          <w:rFonts w:hint="eastAsia" w:ascii="宋体" w:hAnsi="宋体" w:cs="宋体"/>
          <w:bCs/>
          <w:color w:val="auto"/>
          <w:sz w:val="21"/>
          <w:szCs w:val="21"/>
          <w:highlight w:val="none"/>
          <w:lang w:eastAsia="zh-CN"/>
        </w:rPr>
        <w:t xml:space="preserve">JSZC-320509-SZJX-C2026-0003</w:t>
      </w:r>
      <w:r>
        <w:rPr>
          <w:rFonts w:hint="eastAsia" w:ascii="宋体" w:hAnsi="宋体" w:eastAsia="宋体" w:cs="宋体"/>
          <w:bCs/>
          <w:color w:val="auto"/>
          <w:sz w:val="21"/>
          <w:szCs w:val="21"/>
          <w:highlight w:val="none"/>
        </w:rPr>
        <w:t xml:space="preserve">X万元）进行支付,实际结算金额达到或超出预算金额本合同自动终止，具体实施时间及出成果时间按采购人要求执行。须保证根据省、市统一部署和采购人要求，完成全部工作并提交成果且确保通过上级人民政府审批。</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2、付款方式：采取与业务量综合挂钩的方式计费，</w:t>
      </w:r>
      <w:r>
        <w:rPr>
          <w:rFonts w:hint="eastAsia" w:ascii="宋体" w:hAnsi="宋体" w:eastAsia="宋体" w:cs="宋体"/>
          <w:bCs/>
          <w:color w:val="auto"/>
          <w:sz w:val="21"/>
          <w:szCs w:val="21"/>
          <w:highlight w:val="none"/>
          <w:u w:val="single"/>
        </w:rPr>
        <w:t xml:space="preserve">            元/片区</w:t>
      </w:r>
      <w:r>
        <w:rPr>
          <w:rFonts w:hint="eastAsia" w:ascii="宋体" w:hAnsi="宋体" w:eastAsia="宋体" w:cs="宋体"/>
          <w:bCs/>
          <w:color w:val="auto"/>
          <w:sz w:val="21"/>
          <w:szCs w:val="21"/>
          <w:highlight w:val="none"/>
        </w:rPr>
        <w:t xml:space="preserve">；单个上报批次内的片区数量及全年度批次总数量不受限制；结算的实际费用未超过中标金额，则按结算实际费用进行支付。</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3、支付步骤：本项目方案编制完成提交的最终成果通过上级人民政府批准后，且双方确认结算结果后一个月内一次性付清合同价款（不计利息）。乙方要求付款时应提供以下资料，否则甲方有权拒绝付款：</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（1）合格的发票。</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（2）甲乙双方签章的《政府采购合同履行验收报告》。</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（3）双方确认的合同价款结算结果。</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四、服务要求与验收标准：</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1、服务要求：见支付方式及要求和乙方的磋商响应文件及乙方在磋商响应过程中的相关承诺、澄清等有关内容。</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验收标准：乙方在服务期限结束前向甲方提供服务内容中要求的各项报告后，甲方对报告进行审查，如无重大技术瑕疵、报告质量满足服务内容要求，并通过上级人民政府批准，则通过验收。如存在以上问题，乙方应进行改进，直至验收合格为止。</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五、服务质量与考核</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1、乙方应严格按照政府采购竞争性磋商文件的相关要求及其响应文件的所有承诺来完成该项目的方案编制服务。</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2、乙方应按甲方要求提供相关成果文件，包括但不限于土地征收成片开发方案、相关图件、表格和数据库等相关材料，且成果必须包含报上级政府审批所需的所有材料。</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3、乙方须保证根据省、市统一部署和甲方要求，完成全部工作并提交成果且确保通过上级人民政府审批。</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六、双方的权利和义务</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1、甲方权利义务</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（1）甲方有权随时向乙方了解项目进度并要求乙方提供项目相关资料。</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（3）甲方向乙方提供开发片区用地勘测定界技术报告、勘测定界图及范围坐标。</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（4）甲方应为乙方在合同履行过程中开展必要的外业调查、与相关政府部门及其他第三方的沟通、协调提供必要的协助，但不免除乙方根据本合同规定应负的责任。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（5）除合同另有规定外，甲方应保护乙方的响应文件、报告书。成果的所有权归甲方所有，但乙方需保证成果不会对第三方构成侵权，如成果内容构成对第三方构成侵权，所产生的侵权责任由乙方承担。</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2、乙方权利义务</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（1）乙方有权按照本合同约定向甲方收取费用。</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（2）乙方必须根据甲方提供的相关资料进行土地征收成片开发方案编制工作，如果服务过程中，缺少与项目有关的资料，应与甲方协商借阅或购买，除甲方提供的资料外，乙方应根据工作要求收集相关资料。</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（3）乙方对其提供的技术成果及数据资料的完整性、正确性及时限负责。乙方所提供的技术成果及数据必须符合国家技术规范要求。</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（4）乙方应接受并配合甲方或甲方组织的对本合同履行情况的监督与检查，对于甲方指出的问题，应及时作出合理解释或予以纠正。</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乙方应根据本合同项目的特点和具体情况，充分考虑到本项目的复杂性和不确定性，按照国家、自然资源等部门现行的法律、法规、标准、规范、规程、办法、示例等有关规定，在甲方规定的时间内完成本合同的咨询服务工作。</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（6）乙方应按相关规定做好质量管理工作，建立健全质量保证体系，加强全过程的质量控制，建立完整的文件的编制、复核、审核、会签和批准制度，明确各阶段的责任人，并对本合同的咨询服务质量负责。</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（7）乙方应按甲方要求的数量提供项目成果，主要包括土地征收成片开发方案、相关图件、表。</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（8）人员保证与变更</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①乙方应安排响应文件中承诺的人员投入工作，并在服务过程中和服务期内保持人员的相对稳定。</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②如果项目服务人员不能胜任工作、渎职或从事其他违法活动，甲方有权以书面形式提出更换要求，乙方应立即派出具有同等资历的人员替换。</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③乙方的工作进度没有达到响应文件中承诺的进度计划时，甲方有权提出要求增加服务人员，乙方应立即安排，其费用被认为已包含在合同价格之中，不再另行支付。</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（9）对于乙方在咨询服务过程中发生的人员伤亡，或者造成第三方的人员伤亡，或财产损失，或由此而引起的其他一切损害和损失，甲方均不承担任何责任。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七、违约责任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合同一方不履行合同义务或者履行合同义务不符合约定的，应当承担继续履行、采取补救措施或者赔偿损失等违约责任。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1、甲方违约责任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（1）在合同生效后，甲方无理由要求终止服务的，应向乙方偿付中标金额的5%，作为违约金，违约金不足以补偿损失的，乙方有权要求甲方补足。</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（2）甲方逾期付款的应按照逾期付款金额的每天万分之四支付逾期付款违约金。</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（3）甲方违反合同规定，拒绝接受乙方提供服务，应当承担乙方由此造成的损失。</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2、乙方违约责任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（1）乙方采用转包、分包的形式履行合同的，甲方有权中止或终止合同，由此给甲方造成损失的，由乙方承担赔偿责任。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（2）乙方不能提供服务的，或服务不合格从而影响甲方按期正常使用的，应向甲方偿付中标价款5%的违约金，违约金不足以补偿损失的甲方有权要求乙方补足。</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（3）乙方逾期提供服务的，应与甲方和政府采购管理部门协商，甲方仍需求的，乙方应立即提供服务按照逾期服务的每天万分之四支付逾期违约金，同时承担甲方因此遭致的损失费用。</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（4）乙方未按照国家及相关主管部门现行的强制性商务技术标准、规范和规程编制土地征收成片开发方案，甲方将计扣乙方合同价5%的违约金。</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（5）乙方在项目实施过程中，因作风不实、工作效率低下、成果质量差等原因，影响工作的，甲方有权酌情处置。性质严重的，将被列为不诚信单位并上报市、省行政主管部门。</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八、不可抗力</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2、发生不可抗力事件，任何一方均不对因不可抗力无法履行或迟延履行本合同义务而使另一方蒙受的任何损失承担责任，法律另有规定的除外。</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3、因不可抗力不能履行合同的，根据不可抗力的影响，部分或者全部免除责任。但合同一方迟延履行后发生不可抗力的，不能免除责任。</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4、合同各方应根据不可抗力对本合同履行的影响程度，协商确定是否终止本合同或是继续履行本合同。</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九、合同的解除、转让和终止</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1、合同的解除</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（1）有下列情形之一，合同一方可以解除合同：</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①因不可抗力致使不能实现合同目的，有权解除合同；</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②因合同一方违约导致合同不能履行，另一方有权解除合同；</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③本合同约定的其他可以单方解除合同的情形及其他法定可以单方解除合同的情形</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（2）有权解除合同的一方，应当在违约事实或不可抗力发生之后三天内书面通知对方以主张解除合同，合同在书面通知到达对方时解除。</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2、合同的转让</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合同的部分和全部都不得转让。</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3、合同的终止</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本合同因下列原因而终止：</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（1）本合同正常履行完毕；</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（2）任何一方行使解除权解除本合同；</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（3）双方协商一致解除本合同的。</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（4）合同的继续履行将损害国家利益和社会公共利益。</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除上述情形外，甲乙双方不得擅自终止合同。</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十、争议处置</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因履行本合同引起的或与本合同有关的争议，甲、乙双方应首先通过友好协商解决，如果协商不能解决争议，则向甲方所在地有管辖权的人民法院提起诉讼；</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十一、合同生效及其它</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1、本合同经采购代理机构加盖骑缝章，并经甲乙双方签字并加盖公章后即生效，并在二个工作日内上传苏采云系统备案。</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2、本合同一式陆份，具有同等法律效力，甲、乙双方各执贰份，采购代理机构壹份，政府采购监督管理部门壹份。</w:t>
      </w:r>
      <w:r/>
    </w:p>
    <w:p>
      <w:pPr>
        <w:ind w:left="0" w:firstLine="48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政府采购监督管理部门和采购代理机构备存。</w:t>
      </w:r>
      <w:r/>
    </w:p>
    <w:p>
      <w:pPr>
        <w:pStyle w:val="774"/>
        <w:rPr>
          <w:rFonts w:hint="eastAsia"/>
          <w:color w:val="auto"/>
          <w:highlight w:val="none"/>
        </w:rPr>
      </w:pPr>
      <w:r>
        <w:rPr>
          <w:rFonts w:hint="eastAsia"/>
          <w:color w:val="auto"/>
          <w:highlight w:val="none"/>
        </w:rPr>
      </w:r>
      <w:bookmarkEnd w:id="166"/>
      <w:r/>
      <w:bookmarkEnd w:id="167"/>
      <w:r/>
      <w:bookmarkEnd w:id="168"/>
      <w:r/>
      <w:r/>
    </w:p>
    <w:tbl>
      <w:tblPr>
        <w:tblStyle w:val="773"/>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right="0"/>
              <w:jc w:val="both"/>
              <w:keepLines w:val="0"/>
              <w:keepNext w:val="0"/>
              <w:spacing w:before="0" w:beforeAutospacing="1" w:after="0" w:afterAutospacing="1" w:line="480" w:lineRule="auto"/>
              <w:widowControl/>
              <w:rPr>
                <w:rFonts w:hint="eastAsia" w:ascii="宋体" w:hAnsi="宋体" w:eastAsia="宋体" w:cs="仿宋_GB2312"/>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甲方（盖章）：</w:t>
            </w:r>
            <w:r/>
          </w:p>
        </w:tc>
        <w:tc>
          <w:tcPr>
            <w:shd w:val="clear" w:color="auto" w:fill="auto"/>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right="0"/>
              <w:jc w:val="both"/>
              <w:keepLines w:val="0"/>
              <w:keepNext w:val="0"/>
              <w:spacing w:before="0" w:beforeAutospacing="1" w:after="0" w:afterAutospacing="1" w:line="480" w:lineRule="auto"/>
              <w:widowControl/>
              <w:rPr>
                <w:rFonts w:hint="eastAsia" w:ascii="宋体" w:hAnsi="宋体" w:eastAsia="宋体" w:cs="仿宋_GB2312"/>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乙方（盖章）：</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right="0"/>
              <w:jc w:val="both"/>
              <w:keepLines w:val="0"/>
              <w:keepNext w:val="0"/>
              <w:spacing w:before="0" w:beforeAutospacing="1" w:after="0" w:afterAutospacing="1" w:line="480" w:lineRule="auto"/>
              <w:widowControl/>
              <w:rPr>
                <w:rFonts w:hint="eastAsia" w:ascii="宋体" w:hAnsi="宋体" w:eastAsia="宋体" w:cs="仿宋_GB2312"/>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法定（授权）代表人（签字）：</w:t>
            </w:r>
            <w:r/>
          </w:p>
        </w:tc>
        <w:tc>
          <w:tcPr>
            <w:shd w:val="clear" w:color="auto" w:fill="auto"/>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right="0"/>
              <w:jc w:val="both"/>
              <w:keepLines w:val="0"/>
              <w:keepNext w:val="0"/>
              <w:spacing w:before="0" w:beforeAutospacing="1" w:after="0" w:afterAutospacing="1" w:line="480" w:lineRule="auto"/>
              <w:widowControl/>
              <w:rPr>
                <w:rFonts w:hint="eastAsia" w:ascii="宋体" w:hAnsi="宋体" w:eastAsia="宋体" w:cs="仿宋_GB2312"/>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法定（授权）代表人（签字）：</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right="0"/>
              <w:jc w:val="both"/>
              <w:keepLines w:val="0"/>
              <w:keepNext w:val="0"/>
              <w:spacing w:before="0" w:beforeAutospacing="1" w:after="0" w:afterAutospacing="1" w:line="480" w:lineRule="auto"/>
              <w:widowControl/>
              <w:rPr>
                <w:rFonts w:hint="eastAsia" w:ascii="宋体" w:hAnsi="宋体" w:eastAsia="宋体" w:cs="仿宋_GB2312"/>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电话：</w:t>
            </w:r>
            <w:r/>
          </w:p>
        </w:tc>
        <w:tc>
          <w:tcPr>
            <w:shd w:val="clear" w:color="auto" w:fill="auto"/>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left="0" w:right="0"/>
              <w:jc w:val="both"/>
              <w:keepLines w:val="0"/>
              <w:keepNext w:val="0"/>
              <w:spacing w:before="0" w:beforeAutospacing="1" w:after="0" w:afterAutospacing="1" w:line="480" w:lineRule="auto"/>
              <w:widowControl/>
              <w:rPr>
                <w:rFonts w:hint="eastAsia" w:ascii="宋体" w:hAnsi="宋体" w:eastAsia="宋体" w:cs="仿宋_GB2312"/>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电话：</w:t>
            </w:r>
            <w:r/>
          </w:p>
        </w:tc>
      </w:tr>
    </w:tbl>
    <w:p>
      <w:pPr>
        <w:numPr>
          <w:ilvl w:val="0"/>
          <w:numId w:val="0"/>
        </w:numPr>
        <w:jc w:val="both"/>
        <w:keepNext/>
        <w:rPr>
          <w:rFonts w:hint="eastAsia" w:ascii="宋体" w:hAnsi="宋体" w:eastAsia="宋体" w:cs="宋体"/>
          <w:b/>
          <w:bCs w:val="0"/>
          <w:color w:val="auto"/>
          <w:sz w:val="28"/>
          <w:szCs w:val="28"/>
          <w:highlight w:val="none"/>
          <w:lang w:val="en-US" w:eastAsia="zh-CN"/>
        </w:rPr>
        <w:outlineLvl w:val="0"/>
      </w:pPr>
      <w:r>
        <w:rPr>
          <w:rFonts w:hint="eastAsia" w:ascii="宋体" w:hAnsi="宋体" w:eastAsia="宋体" w:cs="宋体"/>
          <w:b/>
          <w:bCs w:val="0"/>
          <w:color w:val="auto"/>
          <w:sz w:val="28"/>
          <w:szCs w:val="28"/>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numPr>
          <w:ilvl w:val="0"/>
          <w:numId w:val="6"/>
        </w:numPr>
        <w:jc w:val="center"/>
        <w:keepLines w:val="0"/>
        <w:keepNext/>
        <w:pageBreakBefore w:val="0"/>
        <w:spacing w:line="360" w:lineRule="auto"/>
        <w:widowControl w:val="off"/>
        <w:rPr>
          <w:rFonts w:hint="eastAsia" w:ascii="宋体" w:hAnsi="宋体" w:eastAsia="宋体" w:cs="宋体"/>
          <w:b/>
          <w:bCs w:val="0"/>
          <w:color w:val="auto"/>
          <w:sz w:val="28"/>
          <w:szCs w:val="28"/>
          <w:highlight w:val="none"/>
          <w:lang w:val="en-US" w:eastAsia="zh-CN"/>
        </w:rPr>
        <w:outlineLvl w:val="0"/>
      </w:pPr>
      <w:r>
        <w:rPr>
          <w:rFonts w:hint="eastAsia" w:ascii="宋体" w:hAnsi="宋体" w:eastAsia="宋体" w:cs="宋体"/>
          <w:b/>
          <w:bCs w:val="0"/>
          <w:color w:val="auto"/>
          <w:sz w:val="28"/>
          <w:szCs w:val="28"/>
          <w:highlight w:val="none"/>
          <w:lang w:val="en-US" w:eastAsia="zh-CN"/>
        </w:rPr>
        <w:t xml:space="preserve">采购需求</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苏州捷信招投标咨询有限公司受吴江区自然资源和规划局的委托，就吴江区2026年度土地征收成片开发方案编制项目采用竞争性磋商方式进行采购，现欢迎符合相关条件的供应商参加本次磋商采购活动。</w:t>
      </w:r>
      <w:r/>
    </w:p>
    <w:p>
      <w:pPr>
        <w:numPr>
          <w:ilvl w:val="0"/>
          <w:numId w:val="0"/>
        </w:numPr>
        <w:ind w:firstLine="420"/>
        <w:jc w:val="left"/>
        <w:keepLines w:val="0"/>
        <w:keepNext/>
        <w:pageBreakBefore w:val="0"/>
        <w:spacing w:line="360" w:lineRule="auto"/>
        <w:widowControl w:val="off"/>
        <w:rPr>
          <w:rFonts w:hint="default"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一、采购编号：</w:t>
      </w:r>
      <w:r>
        <w:rPr>
          <w:rFonts w:hint="eastAsia" w:ascii="宋体" w:hAnsi="宋体" w:cs="宋体"/>
          <w:b w:val="0"/>
          <w:bCs/>
          <w:color w:val="auto"/>
          <w:sz w:val="21"/>
          <w:szCs w:val="21"/>
          <w:highlight w:val="none"/>
          <w:lang w:val="en-US" w:eastAsia="zh-CN"/>
        </w:rPr>
        <w:t xml:space="preserve">JSZC-320509-SZJX-C2026-0003</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二、项目名称：吴江区2026年度土地征收成片开发方案编制项目</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三、采购预算：人民币 叁佰万元整（￥3000000.00）</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最高限价：</w:t>
      </w:r>
      <w:r>
        <w:rPr>
          <w:rFonts w:hint="eastAsia" w:ascii="宋体" w:hAnsi="宋体" w:cs="宋体"/>
          <w:b w:val="0"/>
          <w:bCs/>
          <w:color w:val="auto"/>
          <w:sz w:val="21"/>
          <w:szCs w:val="21"/>
          <w:highlight w:val="none"/>
          <w:lang w:val="en-US" w:eastAsia="zh-CN"/>
        </w:rPr>
        <w:t xml:space="preserve">10万元/个片区</w:t>
      </w:r>
      <w:r>
        <w:rPr>
          <w:rFonts w:hint="eastAsia" w:ascii="宋体" w:hAnsi="宋体" w:eastAsia="宋体" w:cs="宋体"/>
          <w:b w:val="0"/>
          <w:bCs/>
          <w:color w:val="auto"/>
          <w:sz w:val="21"/>
          <w:szCs w:val="21"/>
          <w:highlight w:val="none"/>
          <w:lang w:val="en-US" w:eastAsia="zh-CN"/>
        </w:rPr>
        <w:t xml:space="preserve">。</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四、采购需求：</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（一）项目概况</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为贯彻落实《土地管理法》和《自然资源部关于印发&lt;土地征收成片开发标准&gt;的通知》（自然资规〔2023〕7号）的有关要求，进一步做好土地征收工作，特此开展我区土地征收成片开发方案编制工作。</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（二）项目服务目标</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1、保障地方社会经济发展</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中共中央关于制定国民经济和社会发展第十五个五年规划的建议》（以下简称《建议》），《建议》强调，以新发展理念引领发展，因地制宜发展新质生产力，做强国内大循环，畅通国内国际双循环，统筹扩大内需和深化供给侧结构性改革，加快培育新动能，促进经济结构优化升级，做优增量、盘活存量，推动经济持续健康发展和社会全面进步。土地征收成片开发有利于城市统一规划建设，有利于城市公益性基础设施配套建设，保障地方社会经济发展。</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2、促进节约集约利用土地</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已批准实施的成片开发连续两年未完成方案安排的年度实施计划的，不得批准成片开发方案。这是对成片开发的过程性动态控制，抑制盲目开发、滥用成片开发权，促进土地节约集约利用。</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3、给予被征地农民充分的选择权</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集体经营性建设用地出让、出租等入市行为及成片开发均需要经本集体经济组织成员的村民会议三分之二以上成员或者三分之二以上村民代表的同意，意味着集体经济组织成员在包括基础设施、公共服务设施等建设在内的成片开发与纯粹的集体经营性建设用地入市之间进行权衡选择，给与被征地农民充分的选择权，保障农民权益。</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（三）项目服务内容</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按照《土地管理法》和《自然资源部关于印发&lt;土地征收成片开发标准&gt;的通知》（自然资规〔2023〕7号）规定，依据当地国民经济和社会发展规划、国土空间规划，进行土地征收成片开发方案编制工作。（其中开发片区用地勘测定界技术报告、勘测定界图及范围坐标由采购方提供）</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开发方案编制，即编制土地征收成片开发方案和相关图件，建立成果数据库，应包括但不限于以下内容：</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成片开发的位置、面积、范围和基础设施条件等基本情况。土地征收成片开发方案可包括一个或多个依据国土空间规划确定的完整的土地征收成片开发范围（以下简称开发片区）。开发片区的划分应充分考虑自然条件，以具体的地形和地物为边界，尽量集中连片，相对完整。开发片区不得相互重叠。</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2、成片开发的必要性、主要用途和实现的功能。</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3、成片开发拟安排的建设项目、开发时序和年度实施计划。土地征收成片开发方案实施期限最长不超过5年。</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依据国土空间规划确定的完整的土地征收成片开发范围内，(1)城市新区类和产城融合类开发片区公益性用地比例一般不低于40%;（2）依据《江苏省自然资源厅关于深入推进土地征收成片开发方案编制工作的通知》（苏自然资函〔2024〕939号），工矿和仓储用地占片区总面积不低于60%的片区，公益性用地比例原则上不低于20%；省重大产业项目和特色优势产业集聚程度高，且工矿和仓储用地占片区总面积不低于70%的片区，公益性用地比例原则上不低于15%；位于经批准设立的海关特殊监管区的片区，公益性用地比例根据详细规划确定。</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5、成片开发的土地利用效益以及经济、社会、生态效益评估。方案要高度重视节约集约用地和土地利用效益提升，开展经济建设、社会发展、生态环境等多方面的效益评估，做好资金平衡预算，保障被征地农民原有生活水平不降低，长远生计有保障。</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（四）项目服务期限</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自合同签订之日至 2026年 12 月 31 日前完成（具体时间结合省、市上报时间安排，以采购人要求为准，如因政策变化原因造成时间延误，则项目完成时间相应顺延）。成交人须将2026年 12 月 31 日前启动编制的片区持续服务至编制完成并上报获批。</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（五）费用结算</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采取与业务量综合挂钩的方式计费，</w:t>
      </w:r>
      <w:r>
        <w:rPr>
          <w:rFonts w:hint="eastAsia" w:ascii="宋体" w:hAnsi="宋体" w:cs="宋体"/>
          <w:b w:val="0"/>
          <w:bCs/>
          <w:color w:val="auto"/>
          <w:sz w:val="21"/>
          <w:szCs w:val="21"/>
          <w:highlight w:val="none"/>
          <w:lang w:val="en-US" w:eastAsia="zh-CN"/>
        </w:rPr>
        <w:t xml:space="preserve">设定单价</w:t>
      </w:r>
      <w:r>
        <w:rPr>
          <w:rFonts w:hint="eastAsia" w:ascii="宋体" w:hAnsi="宋体" w:eastAsia="宋体" w:cs="宋体"/>
          <w:b w:val="0"/>
          <w:bCs/>
          <w:color w:val="auto"/>
          <w:sz w:val="21"/>
          <w:szCs w:val="21"/>
          <w:highlight w:val="none"/>
          <w:lang w:val="en-US" w:eastAsia="zh-CN"/>
        </w:rPr>
        <w:t xml:space="preserve">最高限价</w:t>
      </w:r>
      <w:r>
        <w:rPr>
          <w:rFonts w:hint="eastAsia" w:ascii="宋体" w:hAnsi="宋体" w:cs="宋体"/>
          <w:b w:val="0"/>
          <w:bCs/>
          <w:color w:val="auto"/>
          <w:sz w:val="21"/>
          <w:szCs w:val="21"/>
          <w:highlight w:val="none"/>
          <w:lang w:val="en-US" w:eastAsia="zh-CN"/>
        </w:rPr>
        <w:t xml:space="preserve">，采用优惠率报价</w:t>
      </w:r>
      <w:r>
        <w:rPr>
          <w:rFonts w:hint="eastAsia" w:ascii="宋体" w:hAnsi="宋体" w:eastAsia="宋体" w:cs="宋体"/>
          <w:b w:val="0"/>
          <w:bCs/>
          <w:color w:val="auto"/>
          <w:sz w:val="21"/>
          <w:szCs w:val="21"/>
          <w:highlight w:val="none"/>
          <w:lang w:val="en-US" w:eastAsia="zh-CN"/>
        </w:rPr>
        <w:t xml:space="preserve">；单个方案上报批次内的片区数量及全年度批次总数量不受限制；全年度费用总额不超过</w:t>
      </w:r>
      <w:r>
        <w:rPr>
          <w:rFonts w:hint="eastAsia" w:ascii="宋体" w:hAnsi="宋体" w:cs="宋体"/>
          <w:b w:val="0"/>
          <w:bCs/>
          <w:color w:val="auto"/>
          <w:sz w:val="21"/>
          <w:szCs w:val="21"/>
          <w:highlight w:val="none"/>
          <w:lang w:val="en-US" w:eastAsia="zh-CN"/>
        </w:rPr>
        <w:t xml:space="preserve">项目</w:t>
      </w:r>
      <w:r>
        <w:rPr>
          <w:rFonts w:hint="eastAsia" w:ascii="宋体" w:hAnsi="宋体" w:eastAsia="宋体" w:cs="宋体"/>
          <w:b w:val="0"/>
          <w:bCs/>
          <w:color w:val="auto"/>
          <w:sz w:val="21"/>
          <w:szCs w:val="21"/>
          <w:highlight w:val="none"/>
          <w:lang w:val="en-US" w:eastAsia="zh-CN"/>
        </w:rPr>
        <w:t xml:space="preserve">预算；具体金额按照当年度实物工作量统一结算。</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（六）项目主要成果</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项目主要成果包括土地征收成片开发方案、相关图件、表格和数据库等相关材料，并且成果必须包含上报审批所需的所有材料。</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（七）其他要求</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成交供应商应能保证所提供服务涉及到的知识产权是合法取得，并享有完整的知识产权，不会因为采购人的使用而被责令停止使用、追偿或要求赔偿损失；如出现此情况，一切经济和法律责任均由供应商承担。</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2、土地征收成片开发编制工作中涉及到的涉密和敏感图文资料、电子数据，编制单位应严格执行保密的相关规定，不得以任何方式向任何第三人披露、泄露或许可第三人使用。</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五、综合说明及其它：</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1、磋商响应单位必须承诺磋商文件中提出的全部要求，如果其中某些条款不响应时，应在响应文件中逐条列出，如未列出则履约时视同供应商全部响应采购文件要求并按采购文件要求执行。</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2、报价说明：本项目按照单价优惠率报价，结算单价=单价最高限价*（1-优惠率），最终结算金额按实际发生工作量结算。结算总额超过300万元的以300万元进行结算。最终结算金额不超预算金额。</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响应报价应包括完成该项目全部内容所需的一切费用，包括但不限于提供完整的方案编制及后续服务所需的勘测费、调查费、劳务费、咨询费、会务费、出版费、管理费、资料收集、专家论证、成果验收等所有服务成本、代理服务费、法定税费和企业的利润、保险及合同包含的所有风险、责任等各项应有费用。最后响应报价为最终报价，除非因特殊原因并经买卖双方协商同意，成交单位不得再要求追加任何费用。同时，除非合同条款中另有规定，否则，响应单位所报价格在合同实施期间不因市场变化因素而变动。</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3、供应商应对所投项目的全部服务内容进行报价响应，只投其中部分内容者，其响应文件将被拒绝。成交单位对服务缺陷不予更正，采购方有权另请其他单位更正，所发生的费用由成交单位承担。</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4、付款步骤：本项目方案编制完成提交的最终成果通过上级人民政府批准后一个月内一次性付清合同款项（不计利息）。</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5、供应商在项目进行过程中产生的任何人身安全、财产损坏等责任事故一律由供应商自行承担。</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6、供应商需严格按采购文件规定的时间完成项目的全部工作内容，如在实施的过程中出现错误，误差，供应商需负责及时更正直至采购单位确认，并经主管部门验收合格，供应商应严格遵守服务合约，项目完成以后，如采购单位有需要供应商配合的服务，供应商必须予以配合，协助采购单位完善项目内容。</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7、按照磋商文件的要求，供应商需要配合采购人进行验收，完成项目的验收和交付，并提交本项目文档及其他相关资料等。</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8、供应商必须保证全部响应资料的真实性、合法性，在成交后合同签订前，供应商根据采购单位要求提供相关响应原件资料以供与复印件资料核对。如有虚假或对采购文件所要求说明的情况故意隐瞒或虚报，取消其成交的资格，并将按照《中华人民共和国政府采购法》相关条款给予处罚。</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六</w:t>
      </w:r>
      <w:r>
        <w:rPr>
          <w:rFonts w:hint="eastAsia" w:ascii="宋体" w:hAnsi="宋体" w:eastAsia="宋体" w:cs="宋体"/>
          <w:b w:val="0"/>
          <w:bCs/>
          <w:color w:val="auto"/>
          <w:sz w:val="21"/>
          <w:szCs w:val="21"/>
          <w:highlight w:val="none"/>
          <w:lang w:val="en-US" w:eastAsia="zh-CN"/>
        </w:rPr>
        <w:t xml:space="preserve">、政府采购政策</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1、小、微企业</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根据《政府采购促进中小企业发展管理办法》（财库〔2020〕46号）、《关于做好政府采购支持企业发展有关</w:t>
      </w:r>
      <w:r>
        <w:rPr>
          <w:rFonts w:hint="eastAsia" w:ascii="宋体" w:hAnsi="宋体" w:eastAsia="宋体" w:cs="宋体"/>
          <w:b w:val="0"/>
          <w:bCs/>
          <w:color w:val="auto"/>
          <w:sz w:val="21"/>
          <w:szCs w:val="21"/>
          <w:highlight w:val="none"/>
          <w:lang w:val="en-US" w:eastAsia="zh-CN"/>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根据《政府采购促进中小企业发展管理办法》（财库〔2020〕46号）及《中小企业划型标准规定》（工信部联企业〔2011〕300号），本采购项目对应的中小企业划分标准所属行业为：其他未列明行业。</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2、残疾人福利性单位</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3、监狱企业</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4、绿色采购</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七</w:t>
      </w:r>
      <w:r>
        <w:rPr>
          <w:rFonts w:hint="eastAsia" w:ascii="宋体" w:hAnsi="宋体" w:eastAsia="宋体" w:cs="宋体"/>
          <w:b w:val="0"/>
          <w:bCs/>
          <w:color w:val="auto"/>
          <w:sz w:val="21"/>
          <w:szCs w:val="21"/>
          <w:highlight w:val="none"/>
          <w:lang w:val="en-US" w:eastAsia="zh-CN"/>
        </w:rPr>
        <w:t xml:space="preserve">、关于对参与供应商信用记录的政府采购要求</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1、采购代理机构会在接收响应文件截止时间后，登录信用中国网站（www.creditchina.gov.cn/）和中国政府采购网（www.ccgp.gov.cn/）查询供应商的信用记录，并将查询结果递交评审小组。</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3、供应商若在经营活动中受到罚款的，请携带相关地方、部门对较大数额认定标准的证明材料，与响应文件一并提交。若无法提供，则可能承担响应无效等相应不利后果。</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4、对存在失信信息的供应商，由失信供应商应签名确认。同时，采购代理机构工作人员应根据评审小组确认的失信信息，登陆到相关来源网站页面进行复核并打印，作为证据留存。</w:t>
      </w:r>
      <w:r/>
    </w:p>
    <w:p>
      <w:pPr>
        <w:numPr>
          <w:ilvl w:val="0"/>
          <w:numId w:val="0"/>
        </w:numPr>
        <w:ind w:firstLine="420"/>
        <w:jc w:val="left"/>
        <w:keepLines w:val="0"/>
        <w:keepNext/>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八</w:t>
      </w:r>
      <w:r>
        <w:rPr>
          <w:rFonts w:hint="eastAsia" w:ascii="宋体" w:hAnsi="宋体" w:eastAsia="宋体" w:cs="宋体"/>
          <w:b w:val="0"/>
          <w:bCs/>
          <w:color w:val="auto"/>
          <w:sz w:val="21"/>
          <w:szCs w:val="21"/>
          <w:highlight w:val="none"/>
          <w:lang w:val="en-US" w:eastAsia="zh-CN"/>
        </w:rPr>
        <w:t xml:space="preserve">、凡涉及本磋商文件的补充说明和修改，均以苏州市政府采购网发布信息为准。</w:t>
      </w:r>
      <w:r/>
    </w:p>
    <w:p>
      <w:pPr>
        <w:pStyle w:val="774"/>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pStyle w:val="775"/>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numPr>
          <w:ilvl w:val="0"/>
          <w:numId w:val="0"/>
        </w:numPr>
        <w:jc w:val="both"/>
        <w:keepNext/>
        <w:widowControl w:val="off"/>
        <w:rPr>
          <w:rFonts w:hint="default" w:ascii="宋体" w:hAnsi="宋体" w:eastAsia="宋体" w:cs="宋体"/>
          <w:b/>
          <w:bCs w:val="0"/>
          <w:color w:val="auto"/>
          <w:sz w:val="28"/>
          <w:szCs w:val="28"/>
          <w:highlight w:val="none"/>
          <w:lang w:val="en-US" w:eastAsia="zh-CN"/>
        </w:rPr>
        <w:outlineLvl w:val="0"/>
      </w:pPr>
      <w:r>
        <w:rPr>
          <w:rFonts w:hint="default" w:ascii="宋体" w:hAnsi="宋体" w:eastAsia="宋体" w:cs="宋体"/>
          <w:b/>
          <w:bCs w:val="0"/>
          <w:color w:val="auto"/>
          <w:sz w:val="28"/>
          <w:szCs w:val="28"/>
          <w:highlight w:val="none"/>
          <w:lang w:val="en-US" w:eastAsia="zh-CN"/>
        </w:rPr>
      </w:r>
      <w:r/>
    </w:p>
    <w:p>
      <w:pPr>
        <w:pStyle w:val="774"/>
        <w:rPr>
          <w:rFonts w:hint="default"/>
          <w:color w:val="auto"/>
          <w:highlight w:val="none"/>
          <w:lang w:val="en-US" w:eastAsia="zh-CN"/>
        </w:rPr>
      </w:pPr>
      <w:r>
        <w:rPr>
          <w:rFonts w:hint="default"/>
          <w:color w:val="auto"/>
          <w:highlight w:val="none"/>
          <w:lang w:val="en-US" w:eastAsia="zh-CN"/>
        </w:rPr>
      </w:r>
      <w:r/>
    </w:p>
    <w:p>
      <w:pPr>
        <w:jc w:val="center"/>
        <w:keepNext/>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第五章  评审方法与评审标准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一、评审方法：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2.磋商小组各成员独立对每个进入打分程序的有效磋商供应商的响应文件技术和资质部分以打分的形式进行评审和评价。</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6.针对中小型企业、残疾人福利企业和监狱企业的评审：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专门面向中小企业采购的项目或者采购包，不再执行价格评审优惠的扶持政策。</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①填报“中小企业声明函”需严格按“工信部联企业〔2011〕300号通知中的《中小企业划型标准规定》进行。</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②若供应商提供的声明函或认定证明为虚假材料，按“政府采购法”相关规定处理并报请政府监管部门给予行政处罚。</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二、评分标准：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本次磋商总分为100分，评审因素及各比重如下：价格分值占总分值的比重为10%（权重），技术与方案及其它占90%（权重）。</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（一）价格基准分（10分）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1、本项目所报价格为</w:t>
      </w:r>
      <w:r>
        <w:rPr>
          <w:rFonts w:hint="eastAsia" w:ascii="宋体" w:hAnsi="宋体" w:eastAsia="宋体" w:cs="宋体"/>
          <w:b w:val="0"/>
          <w:bCs/>
          <w:color w:val="auto"/>
          <w:sz w:val="21"/>
          <w:szCs w:val="21"/>
          <w:highlight w:val="none"/>
          <w:lang w:eastAsia="zh-CN"/>
        </w:rPr>
        <w:t xml:space="preserve">优惠率</w:t>
      </w:r>
      <w:r>
        <w:rPr>
          <w:rFonts w:hint="eastAsia" w:ascii="宋体" w:hAnsi="宋体" w:eastAsia="宋体" w:cs="宋体"/>
          <w:b w:val="0"/>
          <w:bCs/>
          <w:color w:val="auto"/>
          <w:sz w:val="21"/>
          <w:szCs w:val="21"/>
          <w:highlight w:val="none"/>
        </w:rPr>
        <w:t xml:space="preserve">报价；</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2、在有效投标报价中选择报价</w:t>
      </w:r>
      <w:r>
        <w:rPr>
          <w:rFonts w:hint="eastAsia" w:ascii="宋体" w:hAnsi="宋体" w:eastAsia="宋体" w:cs="宋体"/>
          <w:b w:val="0"/>
          <w:bCs/>
          <w:color w:val="auto"/>
          <w:sz w:val="21"/>
          <w:szCs w:val="21"/>
          <w:highlight w:val="none"/>
          <w:lang w:eastAsia="zh-CN"/>
        </w:rPr>
        <w:t xml:space="preserve">优惠率</w:t>
      </w:r>
      <w:r>
        <w:rPr>
          <w:rFonts w:hint="eastAsia" w:ascii="宋体" w:hAnsi="宋体" w:eastAsia="宋体" w:cs="宋体"/>
          <w:b w:val="0"/>
          <w:bCs/>
          <w:color w:val="auto"/>
          <w:sz w:val="21"/>
          <w:szCs w:val="21"/>
          <w:highlight w:val="none"/>
        </w:rPr>
        <w:t xml:space="preserve">最高的</w:t>
      </w:r>
      <w:r>
        <w:rPr>
          <w:rFonts w:hint="eastAsia" w:ascii="宋体" w:hAnsi="宋体" w:eastAsia="宋体" w:cs="宋体"/>
          <w:b w:val="0"/>
          <w:bCs/>
          <w:color w:val="auto"/>
          <w:sz w:val="21"/>
          <w:szCs w:val="21"/>
          <w:highlight w:val="none"/>
          <w:lang w:eastAsia="zh-CN"/>
        </w:rPr>
        <w:t xml:space="preserve">优惠率</w:t>
      </w:r>
      <w:r>
        <w:rPr>
          <w:rFonts w:hint="eastAsia" w:ascii="宋体" w:hAnsi="宋体" w:eastAsia="宋体" w:cs="宋体"/>
          <w:b w:val="0"/>
          <w:bCs/>
          <w:color w:val="auto"/>
          <w:sz w:val="21"/>
          <w:szCs w:val="21"/>
          <w:highlight w:val="none"/>
        </w:rPr>
        <w:t xml:space="preserve">为评标基准</w:t>
      </w:r>
      <w:r>
        <w:rPr>
          <w:rFonts w:hint="eastAsia" w:ascii="宋体" w:hAnsi="宋体" w:eastAsia="宋体" w:cs="宋体"/>
          <w:b w:val="0"/>
          <w:bCs/>
          <w:color w:val="auto"/>
          <w:sz w:val="21"/>
          <w:szCs w:val="21"/>
          <w:highlight w:val="none"/>
          <w:lang w:eastAsia="zh-CN"/>
        </w:rPr>
        <w:t xml:space="preserve">优惠率</w:t>
      </w:r>
      <w:r>
        <w:rPr>
          <w:rFonts w:hint="eastAsia" w:ascii="宋体" w:hAnsi="宋体" w:eastAsia="宋体" w:cs="宋体"/>
          <w:b w:val="0"/>
          <w:bCs/>
          <w:color w:val="auto"/>
          <w:sz w:val="21"/>
          <w:szCs w:val="21"/>
          <w:highlight w:val="none"/>
        </w:rPr>
        <w:t xml:space="preserve">，得满分，其他</w:t>
      </w:r>
      <w:r>
        <w:rPr>
          <w:rFonts w:hint="eastAsia" w:ascii="宋体" w:hAnsi="宋体"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的分值按照下列公式计算（计算结果四舍五入保留两位小数）：</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color w:val="auto"/>
          <w:sz w:val="21"/>
          <w:szCs w:val="21"/>
          <w:highlight w:val="none"/>
        </w:rPr>
        <w:t xml:space="preserve">投标报价得分=【（1-评标基准</w:t>
      </w:r>
      <w:r>
        <w:rPr>
          <w:rFonts w:hint="eastAsia" w:ascii="宋体" w:hAnsi="宋体" w:eastAsia="宋体" w:cs="宋体"/>
          <w:b w:val="0"/>
          <w:bCs/>
          <w:color w:val="auto"/>
          <w:sz w:val="21"/>
          <w:szCs w:val="21"/>
          <w:highlight w:val="none"/>
          <w:lang w:eastAsia="zh-CN"/>
        </w:rPr>
        <w:t xml:space="preserve">优惠率</w:t>
      </w:r>
      <w:r>
        <w:rPr>
          <w:rFonts w:hint="eastAsia" w:ascii="宋体" w:hAnsi="宋体" w:eastAsia="宋体" w:cs="宋体"/>
          <w:b w:val="0"/>
          <w:bCs/>
          <w:color w:val="auto"/>
          <w:sz w:val="21"/>
          <w:szCs w:val="21"/>
          <w:highlight w:val="none"/>
        </w:rPr>
        <w:t xml:space="preserve">）/（1-投标</w:t>
      </w:r>
      <w:r>
        <w:rPr>
          <w:rFonts w:hint="eastAsia" w:ascii="宋体" w:hAnsi="宋体" w:eastAsia="宋体" w:cs="宋体"/>
          <w:b w:val="0"/>
          <w:bCs/>
          <w:color w:val="auto"/>
          <w:sz w:val="21"/>
          <w:szCs w:val="21"/>
          <w:highlight w:val="none"/>
          <w:lang w:eastAsia="zh-CN"/>
        </w:rPr>
        <w:t xml:space="preserve">优惠率</w:t>
      </w:r>
      <w:r>
        <w:rPr>
          <w:rFonts w:hint="eastAsia" w:ascii="宋体" w:hAnsi="宋体" w:eastAsia="宋体" w:cs="宋体"/>
          <w:b w:val="0"/>
          <w:bCs/>
          <w:color w:val="auto"/>
          <w:sz w:val="21"/>
          <w:szCs w:val="21"/>
          <w:highlight w:val="none"/>
        </w:rPr>
        <w:t xml:space="preserve">）】*折扣权值*100（价格权值为10%）。</w:t>
      </w:r>
      <w:r>
        <w:rPr>
          <w:rFonts w:hint="eastAsia" w:ascii="宋体" w:hAnsi="宋体" w:eastAsia="宋体" w:cs="宋体"/>
          <w:b w:val="0"/>
          <w:bCs/>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color w:val="auto"/>
          <w:sz w:val="21"/>
          <w:szCs w:val="21"/>
          <w:highlight w:val="none"/>
        </w:rPr>
      </w:r>
      <w:r>
        <w:rPr>
          <w:rFonts w:ascii="宋体" w:hAnsi="宋体" w:eastAsia="宋体" w:cs="宋体"/>
          <w:b w:val="0"/>
          <w:bCs w:val="0"/>
          <w:color w:val="000000"/>
          <w:sz w:val="20"/>
          <w:szCs w:val="20"/>
        </w:rPr>
        <w:t xml:space="preserve">根</w:t>
      </w:r>
      <w:r>
        <w:rPr>
          <w:rFonts w:ascii="宋体" w:hAnsi="宋体" w:eastAsia="宋体" w:cs="宋体"/>
          <w:b w:val="0"/>
          <w:bCs w:val="0"/>
          <w:color w:val="000000" w:themeColor="text1"/>
          <w:sz w:val="20"/>
          <w:szCs w:val="20"/>
        </w:rPr>
        <w:t xml:space="preserve">据</w:t>
      </w:r>
      <w:r>
        <w:rPr>
          <w:rFonts w:ascii="宋体" w:hAnsi="宋体" w:eastAsia="宋体" w:cs="宋体"/>
          <w:b w:val="0"/>
          <w:bCs w:val="0"/>
          <w:color w:val="000000" w:themeColor="text1"/>
          <w:sz w:val="20"/>
          <w:szCs w:val="20"/>
        </w:rPr>
        <w:t xml:space="preserve">关于推动解决政府采购异常低价问题的通知</w:t>
      </w:r>
      <w:r>
        <w:rPr>
          <w:rFonts w:ascii="宋体" w:hAnsi="宋体" w:eastAsia="宋体" w:cs="宋体"/>
          <w:b w:val="0"/>
          <w:bCs w:val="0"/>
          <w:color w:val="000000" w:themeColor="text1"/>
          <w:spacing w:val="-2"/>
          <w:sz w:val="20"/>
          <w:szCs w:val="20"/>
        </w:rPr>
        <w:t xml:space="preserve">要</w:t>
      </w:r>
      <w:r>
        <w:rPr>
          <w:rFonts w:ascii="SimSun" w:hAnsi="SimSun" w:eastAsia="SimSun" w:cs="SimSun"/>
          <w:color w:val="000000"/>
          <w:spacing w:val="-2"/>
          <w:sz w:val="21"/>
        </w:rPr>
        <w:t xml:space="preserve">求，对</w:t>
      </w:r>
      <w:r>
        <w:rPr>
          <w:rFonts w:ascii="SimSun" w:hAnsi="SimSun" w:eastAsia="SimSun" w:cs="SimSun"/>
          <w:color w:val="000000"/>
          <w:sz w:val="21"/>
        </w:rPr>
        <w:t xml:space="preserve">异常低价响应进行审查</w:t>
      </w:r>
      <w:r>
        <w:rPr>
          <w:rFonts w:ascii="SimSun" w:hAnsi="SimSun" w:eastAsia="SimSun" w:cs="SimSun"/>
          <w:color w:val="000000"/>
          <w:sz w:val="21"/>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（二）项目服务方案（54分）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1、对项目所在区域等基本情况的理解（6分）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对项目所在区域基本情况的理解：对项目所在区域相关现状调查深入、描述清楚，资料详实，并能对现有情况进行有针对性的深入分析的得6分；对项目所在区域相关现状基本了解、描述清楚，对现有情况分析基本概括得4分；对项目所在区域相关现状了解一般、描述简单，对现有情况分析简略得2分；未提供的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2、对本项目具体情况的理解，包括工程目标和任务的理解和把握、总体思路是否与目标相适应等（8分）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对本项目具体情况、工程目标和任务理解充分、描述详细，总体思路与目标相适应，方案科学合理，清晰准确的得8分；对具体情况、工程目标和任务基本理解，描述完整，方案比较合理，基本能满足项目实施需要的得5分；对具体情况、工程目标和任务理解一般，方案简单，描述不完整的得2分；未提供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3、本项目工作方法及技术路线（8分）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本项目研究方法科学合理、技术路线正确可行得8分；技术线路、研究方法基本能满足项目的得5分；技术线路有偏差的得2分；未提供不得分。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4、本项目的重点、难点及应对措施（8分）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对本项目重点、难点的把握与分析详细到位，解决对策方案科学合理，描述清晰准确、措施有效扎实，有针对性的得8分；重点、难点的把握与分析比较全面详细，对策方案比较科学合理，描述比较详细，措施有一定的可行性，较有针对性的得5分；重点、难点的把握与分析一般，对策方案比较合理，描述不甚详细，可行性及针对性一般的得2分；没有此项的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5、工作进度计划安排与质量保证措施（6分）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进度满足本项目要求，进度与质量保证措施合理可行、针对性强的得6分；进度基本满足本项目要求，质量保证措施有一定的可行性、针对性得4分；进度计划安排不详细，质量保证措施可行性及针对性一般或较少得2分；没有此项的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6、服务承诺及后续服务安排（6分）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提供的日常技术服务支持承诺、服务响应时间承诺、后续服务承诺及服务条款内容具体、合理、全面得6分；日常技术服务支持承诺、服务响应时间承诺、后续服务承诺及服务条款内容一般，较合理得4分；日常技术服务支持承诺、服务响应时间承诺、后续服务承诺及服务条款内容不够全面且欠合理得2分；没有此项的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7、档案管理制度（6分）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对资料、档案管理保障措施完善，方案科学合理的得6分；对资料、档案管理保障措施较为完善，方案较为科学合理的得4分；对资料、档案管理保障措施完善程度一般，方案科学性、合理性一般的得2分；没有此项的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8、岗位责任、管理运作制度、工作人员考核制度（6分）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制度完整、规范、合理、全面的得6分；制度完整性、规范性、合理性较好的得4分；制度简单不全面合理性一般的得2分；没有此项的不得分。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（三）项目人员配置情况（12分）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1、项目负责人（3分）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具备土地</w:t>
      </w:r>
      <w:r>
        <w:rPr>
          <w:rFonts w:hint="eastAsia" w:ascii="宋体" w:hAnsi="宋体" w:cs="宋体"/>
          <w:b w:val="0"/>
          <w:bCs/>
          <w:color w:val="auto"/>
          <w:sz w:val="21"/>
          <w:szCs w:val="21"/>
          <w:highlight w:val="none"/>
          <w:lang w:val="en-US" w:eastAsia="zh-CN"/>
        </w:rPr>
        <w:t xml:space="preserve">或</w:t>
      </w:r>
      <w:r>
        <w:rPr>
          <w:rFonts w:hint="eastAsia" w:ascii="宋体" w:hAnsi="宋体" w:eastAsia="宋体" w:cs="宋体"/>
          <w:b w:val="0"/>
          <w:bCs/>
          <w:color w:val="auto"/>
          <w:sz w:val="21"/>
          <w:szCs w:val="21"/>
          <w:highlight w:val="none"/>
        </w:rPr>
        <w:t xml:space="preserve">城市（乡）规划专业高级职称的得1分；最高得1分。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自2021年1月1日（以获奖证书证明时间为准）以来项目负责人参加过的项目获得过市级（含）以上行政主管部门颁发的奖项，每有一个得1分，最高得2分。（须提供上述人员职称证书复印件及其在</w:t>
      </w:r>
      <w:r>
        <w:rPr>
          <w:rFonts w:hint="eastAsia" w:ascii="宋体" w:hAnsi="宋体"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近期的社保缴纳证明文件。）</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2、技术负责人（1分）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具备城市（乡）规划专业高级职称的得1分；最高得1分。（须提供上述人员职称证书复印件及其在</w:t>
      </w:r>
      <w:r>
        <w:rPr>
          <w:rFonts w:hint="eastAsia" w:ascii="宋体" w:hAnsi="宋体"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近期的社保缴纳证明文件。）</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3、针对本项目的团队成员中（除项目负责人、技术负责人外），具有</w:t>
      </w:r>
      <w:r>
        <w:rPr>
          <w:rFonts w:hint="eastAsia" w:ascii="宋体" w:hAnsi="宋体" w:cs="宋体"/>
          <w:b w:val="0"/>
          <w:bCs/>
          <w:color w:val="auto"/>
          <w:sz w:val="21"/>
          <w:szCs w:val="21"/>
          <w:highlight w:val="none"/>
          <w:lang w:val="en-US" w:eastAsia="zh-CN"/>
        </w:rPr>
        <w:t xml:space="preserve">以下专业</w:t>
      </w:r>
      <w:r>
        <w:rPr>
          <w:rFonts w:hint="eastAsia" w:ascii="宋体" w:hAnsi="宋体" w:eastAsia="宋体" w:cs="宋体"/>
          <w:b w:val="0"/>
          <w:bCs/>
          <w:color w:val="auto"/>
          <w:sz w:val="21"/>
          <w:szCs w:val="21"/>
          <w:highlight w:val="none"/>
        </w:rPr>
        <w:t xml:space="preserve">高级及以上职称的，每具备一个得1分，具有中级职称的，每具备一个得0.5分，最高得6分。（职称专业：土地类、城市（乡）规划、测量测绘类、自然（国土）资源工程及国土空间规划，其他专业不得分。须提供上述人员职称证书复印件及其在</w:t>
      </w:r>
      <w:r>
        <w:rPr>
          <w:rFonts w:hint="eastAsia" w:ascii="宋体" w:hAnsi="宋体"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近期的社保缴纳证明文件；同一人员具有多项职称证书的，仅按照最高职称计分一次，不重复计分。）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4、拟投入本项目团队人员中具有注册城市（乡）规划师的，有一个得0.5分，最高得2分。（须提供上述人员证书复印件及其在响应单位近期的社保缴纳证明文件。）</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（四）</w:t>
      </w:r>
      <w:r>
        <w:rPr>
          <w:rFonts w:hint="eastAsia" w:ascii="宋体" w:hAnsi="宋体" w:eastAsia="宋体" w:cs="宋体"/>
          <w:b w:val="0"/>
          <w:bCs/>
          <w:color w:val="auto"/>
          <w:sz w:val="21"/>
          <w:szCs w:val="21"/>
          <w:highlight w:val="none"/>
          <w:lang w:val="en-US" w:eastAsia="zh-CN"/>
        </w:rPr>
        <w:t xml:space="preserve">履约能力</w:t>
      </w:r>
      <w:r>
        <w:rPr>
          <w:rFonts w:hint="eastAsia" w:ascii="宋体" w:hAnsi="宋体" w:eastAsia="宋体" w:cs="宋体"/>
          <w:b w:val="0"/>
          <w:bCs/>
          <w:color w:val="auto"/>
          <w:sz w:val="21"/>
          <w:szCs w:val="21"/>
          <w:highlight w:val="none"/>
        </w:rPr>
        <w:t xml:space="preserve">（8分）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1、体系认证（4分）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具有有效期内的质量管理体系认证证书、环境管理体系认证证书、职业健康安全管理体系认证书、信息安全管理体系认证证书的，每有一个得1分，本项最高得4分。（须提供有效认证证书）</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2、获奖情况（4分）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供应商自2021年1月1日（以获奖证书证明时间为准）以来承担过的项目获得过市级及以上自然资源（国土）主管部门颁发的规划</w:t>
      </w:r>
      <w:r>
        <w:rPr>
          <w:rFonts w:hint="eastAsia" w:ascii="宋体" w:hAnsi="宋体" w:cs="宋体"/>
          <w:b w:val="0"/>
          <w:bCs/>
          <w:color w:val="auto"/>
          <w:sz w:val="21"/>
          <w:szCs w:val="21"/>
          <w:highlight w:val="none"/>
          <w:lang w:val="en-US" w:eastAsia="zh-CN"/>
        </w:rPr>
        <w:t xml:space="preserve">类</w:t>
      </w:r>
      <w:r>
        <w:rPr>
          <w:rFonts w:hint="eastAsia" w:ascii="宋体" w:hAnsi="宋体" w:eastAsia="宋体" w:cs="宋体"/>
          <w:b w:val="0"/>
          <w:bCs/>
          <w:color w:val="auto"/>
          <w:sz w:val="21"/>
          <w:szCs w:val="21"/>
          <w:highlight w:val="none"/>
        </w:rPr>
        <w:t xml:space="preserve">奖项的，每提供一个得1分。本项最多得4分。（同一项目获得多个奖项的，仅按一个项目计算。）。（须提供有效期内的获奖证明，时间以获奖证书上颁发时间为准；如同一项目同时获得不同级别奖项，则以最高奖项为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（五）类似业绩（16分）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1、供应商自2023年 1 月 1 日（含）以来，承担过土地征收成片开发编制工作的，每提供一项得2分，最高得8分。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2、供应商自2023年 1 月 1 日（含）以来，具有项目用地预审或用地报批咨询服务的业绩，每提供一项得2分，最高得8分。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注：以上业绩均须提供有效合同，且合同应能反映上述业绩信息，否则视为未提供；时间以合同签订时间为准。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注：</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1.付款步骤、服务期限如有负偏离的不得成交。</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2.针对评分标准中评分的每一条，磋商响应单位均应提供相关资料并作出相应说明供评委评判，不提供相关资料的视为不具备该项得分的条件。</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3.采购文件中要求的复印件可以用扫描件代替；复印件或扫描件须清晰可辨，如因复印件或扫描件模糊，造成无法辨认，该项不得分。</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4.采购文件中要求加盖响应单位公章的，可用电子签章代替。</w:t>
      </w:r>
      <w:r/>
    </w:p>
    <w:p>
      <w:pPr>
        <w:ind w:firstLine="420"/>
        <w:jc w:val="left"/>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 w:val="21"/>
          <w:szCs w:val="21"/>
          <w:highlight w:val="none"/>
        </w:rPr>
        <w:t xml:space="preserve">5.防止虚假应标，采购人保留调查的权利，并由此引发的一切调查与诉讼费用由</w:t>
      </w: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承担。</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44"/>
          <w:szCs w:val="28"/>
          <w:highlight w:val="none"/>
        </w:rPr>
        <w:br w:type="page" w:clear="all"/>
      </w:r>
      <w:r>
        <w:rPr>
          <w:rFonts w:hint="eastAsia" w:ascii="宋体" w:hAnsi="宋体" w:eastAsia="宋体" w:cs="宋体"/>
          <w:b/>
          <w:bCs w:val="0"/>
          <w:color w:val="auto"/>
          <w:sz w:val="28"/>
          <w:szCs w:val="28"/>
          <w:highlight w:val="none"/>
        </w:rPr>
        <w:t xml:space="preserve">第六章  响应文件格式 </w:t>
      </w:r>
      <w:r/>
    </w:p>
    <w:p>
      <w:pPr>
        <w:pStyle w:val="951"/>
        <w:ind w:firstLine="0"/>
        <w:spacing w:line="400" w:lineRule="exact"/>
        <w:rPr>
          <w:rFonts w:hint="eastAsia" w:ascii="宋体" w:hAnsi="宋体" w:eastAsia="宋体" w:cs="宋体"/>
          <w:b/>
          <w:color w:val="auto"/>
          <w:sz w:val="21"/>
          <w:szCs w:val="21"/>
          <w:highlight w:val="none"/>
        </w:rPr>
      </w:pPr>
      <w:r/>
      <w:bookmarkStart w:id="169" w:name="_Hlt26671244"/>
      <w:r/>
      <w:bookmarkEnd w:id="169"/>
      <w:r/>
      <w:bookmarkStart w:id="170" w:name="_Hlt26955039"/>
      <w:r/>
      <w:bookmarkEnd w:id="170"/>
      <w:r/>
      <w:bookmarkStart w:id="171" w:name="_Toc26554094"/>
      <w:r/>
      <w:bookmarkStart w:id="172" w:name="_Toc120614282"/>
      <w:r/>
      <w:bookmarkStart w:id="173" w:name="_Toc49090576"/>
      <w:r>
        <w:rPr>
          <w:rFonts w:hint="eastAsia" w:ascii="宋体" w:hAnsi="宋体" w:eastAsia="宋体" w:cs="宋体"/>
          <w:b/>
          <w:color w:val="auto"/>
          <w:sz w:val="21"/>
          <w:szCs w:val="21"/>
          <w:highlight w:val="none"/>
        </w:rPr>
        <w:t xml:space="preserve">说明：</w:t>
      </w:r>
      <w:r/>
    </w:p>
    <w:p>
      <w:pPr>
        <w:pStyle w:val="951"/>
        <w:ind w:firstLine="481"/>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对本章所有的投标书格式 ，投标人可根据自身情况进行补充和修改，但补充和修改不得造成与本格式内容有实质性的违背。</w:t>
      </w:r>
      <w:bookmarkEnd w:id="171"/>
      <w:r/>
      <w:bookmarkEnd w:id="172"/>
      <w:r/>
      <w:bookmarkEnd w:id="173"/>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格式1：磋商响应函</w:t>
      </w:r>
      <w:r/>
    </w:p>
    <w:p>
      <w:pPr>
        <w:ind w:firstLine="0"/>
        <w:jc w:val="center"/>
        <w:keepLines/>
        <w:keepNext/>
        <w:pageBreakBefore w:val="0"/>
        <w:spacing w:line="240" w:lineRule="auto"/>
        <w:widowControl w:val="off"/>
        <w:rPr>
          <w:rFonts w:hint="eastAsia" w:ascii="宋体" w:hAnsi="宋体" w:eastAsia="宋体" w:cs="宋体"/>
          <w:b/>
          <w:i/>
          <w:color w:val="auto"/>
          <w:sz w:val="21"/>
          <w:szCs w:val="21"/>
          <w:highlight w:val="none"/>
          <w:u w:val="single"/>
        </w:rPr>
        <w:outlineLvl w:val="9"/>
      </w:pPr>
      <w:r>
        <w:rPr>
          <w:rFonts w:hint="eastAsia" w:ascii="宋体" w:hAnsi="宋体" w:eastAsia="宋体" w:cs="宋体"/>
          <w:b w:val="0"/>
          <w:bCs/>
          <w:i w:val="0"/>
          <w:iCs/>
          <w:color w:val="auto"/>
          <w:sz w:val="21"/>
          <w:szCs w:val="21"/>
          <w:highlight w:val="none"/>
          <w:u w:val="none"/>
        </w:rPr>
        <w:t xml:space="preserve">磋商响应函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致：</w:t>
      </w:r>
      <w:r>
        <w:rPr>
          <w:rFonts w:hint="eastAsia" w:ascii="宋体" w:hAnsi="宋体" w:eastAsia="宋体" w:cs="宋体"/>
          <w:color w:val="auto"/>
          <w:sz w:val="21"/>
          <w:szCs w:val="21"/>
          <w:highlight w:val="none"/>
          <w:u w:val="single"/>
          <w:lang w:val="en-US" w:eastAsia="zh-CN" w:bidi="ar"/>
        </w:rPr>
        <w:t xml:space="preserve">苏州捷信招投标咨询有限公司</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我方收到贵公司</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（项目编号）采购文件，经仔细阅读和研究，我方决定参加磋商活动，并向贵公司作出如下承诺：</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1、我方愿意按照采购文件的一切要求，提供本项目的所有内容，我方的报价包括完成本项工作所需的一切应有费用。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2、如果我方的磋商响应文件被接受，我方将严格履行采购文件中规定的每一项要求，严格履行合同的责任和义务，保证按期、按质履行合同，完成合同所规定的全部内容。</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3、我方已详细审查并同意采购文件及更正文件（若有）中的规定。我方完全理解并同意放弃对这方面有不明及误解的权利。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4、本磋商响应文件的有效期限为响应文件接收截止时间之日起90天。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5、我方保证所提交的响应文件中所有资料均是真实的、准确的。若与真实情况不符，我方愿意承担由此而产生的一切后果。</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6、我方承诺磋商响应文件在磋商开始后的全过程中保持有效，不作任何更改和变动。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7、我方承诺满足《中华人民共和国政府采购法》第二十二条规定的所有条件。</w:t>
      </w:r>
      <w:r/>
    </w:p>
    <w:p>
      <w:pPr>
        <w:pStyle w:val="1068"/>
        <w:ind w:left="0" w:right="0" w:firstLine="420"/>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8、我们与参与本次采购活动的其他供应商的负责人不是同一人，也不存在直接控股、管理关系。</w:t>
      </w:r>
      <w:r/>
    </w:p>
    <w:p>
      <w:pPr>
        <w:pStyle w:val="1068"/>
        <w:ind w:left="0" w:right="0" w:firstLine="420"/>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供应商与其他单位存在控股、管理关系情况表</w:t>
      </w:r>
      <w:r/>
    </w:p>
    <w:tbl>
      <w:tblPr>
        <w:tblStyle w:val="773"/>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供应商与其他单位存在控股、管理关系的单位名称</w:t>
            </w:r>
            <w:r/>
          </w:p>
        </w:tc>
        <w:tc>
          <w:tcPr>
            <w:shd w:val="clear" w:color="auto" w:fill="auto"/>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控股、管理关系情况说明</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bl>
    <w:p>
      <w:pPr>
        <w:pStyle w:val="1068"/>
        <w:ind w:left="0" w:right="0" w:firstLine="420"/>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注：响应单位应当按实填写所有与之有控股、管理关系的情况。</w:t>
      </w:r>
      <w:r/>
    </w:p>
    <w:p>
      <w:pPr>
        <w:pStyle w:val="1069"/>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9、我们没有为本采购项目提供整体设计、规范编</w:t>
      </w:r>
      <w:r>
        <w:rPr>
          <w:rFonts w:hint="eastAsia" w:ascii="宋体" w:hAnsi="宋体" w:eastAsia="宋体" w:cs="宋体"/>
          <w:b/>
          <w:bCs w:val="0"/>
          <w:color w:val="auto"/>
          <w:sz w:val="21"/>
          <w:szCs w:val="21"/>
          <w:highlight w:val="none"/>
        </w:rPr>
        <w:t xml:space="preserve">制，以及项目管理、监理、检测等服务。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10、与本磋商相应文件有关的通讯地址：</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   位：                                              联 系 人：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地   址：                                              邮政编码：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联系电话：                                             电子邮箱：</w:t>
      </w:r>
      <w:r/>
    </w:p>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供应商名称：（公章） </w:t>
      </w:r>
      <w:r/>
    </w:p>
    <w:p>
      <w:pPr>
        <w:ind w:left="0" w:right="0" w:firstLine="420"/>
        <w:jc w:val="righ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法定代表人或被授权人：（签字或盖章）</w:t>
      </w:r>
      <w:r/>
    </w:p>
    <w:p>
      <w:pPr>
        <w:ind w:left="0" w:right="0" w:firstLine="420"/>
        <w:jc w:val="righ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日    期：     年     月    日</w:t>
      </w:r>
      <w:r/>
    </w:p>
    <w:p>
      <w:pPr>
        <w:ind w:firstLine="240"/>
        <w:jc w:val="center"/>
        <w:spacing w:line="5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格式2：法定代表人授权委托书</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cente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法定代表人授权委托书</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（姓名）系            （供应商名称）的法定代表人，现授权委托             （姓名）为我公司授权代表（即代理人），以本公司的名义参加苏州捷信招投标咨询有限公司组织实施的编号为          号（项目编号）的竞争性磋商活动。代理人在磋商活动过程中所签署的一切文件和处理与这有关的一切事务，我均予以承认。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法定代表人：（签字或盖章）</w:t>
      </w:r>
      <w:r/>
    </w:p>
    <w:p>
      <w:pPr>
        <w:ind w:firstLine="42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日    期：     年     月    日</w:t>
      </w:r>
      <w:r/>
    </w:p>
    <w:p>
      <w:pPr>
        <w:ind w:firstLine="42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righ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righ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righ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cente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格式3：开标一览表</w:t>
      </w:r>
      <w:r/>
    </w:p>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开标一览表</w:t>
      </w:r>
      <w:r/>
    </w:p>
    <w:p>
      <w:pPr>
        <w:pStyle w:val="795"/>
        <w:ind w:left="0" w:right="0" w:firstLine="0"/>
        <w:jc w:val="both"/>
        <w:keepLines w:val="0"/>
        <w:keepNext w:val="0"/>
        <w:spacing w:before="0" w:beforeAutospacing="1" w:after="0" w:afterAutospacing="1"/>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项目编号：</w:t>
      </w:r>
      <w:r/>
    </w:p>
    <w:p>
      <w:pPr>
        <w:pStyle w:val="795"/>
        <w:ind w:left="0" w:right="0" w:firstLine="0"/>
        <w:jc w:val="both"/>
        <w:keepLines w:val="0"/>
        <w:keepNext w:val="0"/>
        <w:spacing w:before="0" w:beforeAutospacing="1" w:after="0" w:afterAutospacing="1"/>
        <w:widowControl/>
        <w:rPr>
          <w:rFonts w:hint="default" w:ascii="Calibri" w:hAnsi="Calibri" w:eastAsia="宋体" w:cs="Times New Roman"/>
          <w:color w:val="auto"/>
          <w:highlight w:val="none"/>
        </w:rPr>
        <w:suppressLineNumbers w:val="0"/>
      </w:pPr>
      <w:r>
        <w:rPr>
          <w:rFonts w:hint="default" w:ascii="Calibri" w:hAnsi="Calibri" w:eastAsia="宋体" w:cs="Times New Roman"/>
          <w:color w:val="auto"/>
          <w:highlight w:val="none"/>
          <w:lang w:val="en-US" w:eastAsia="zh-CN" w:bidi="ar"/>
        </w:rPr>
        <w:t xml:space="preserve"> </w:t>
      </w:r>
      <w:r/>
    </w:p>
    <w:tbl>
      <w:tblPr>
        <w:tblStyle w:val="773"/>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89"/>
        <w:gridCol w:w="5765"/>
      </w:tblGrid>
      <w:tr>
        <w:trPr>
          <w:jc w:val="center"/>
          <w:trHeight w:val="564"/>
        </w:trPr>
        <w:tc>
          <w:tcPr>
            <w:shd w:val="clear" w:color="auto" w:fill="auto"/>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1" w:after="0" w:afterAutospacing="1" w:line="360" w:lineRule="auto"/>
              <w:widowControl w:val="off"/>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1" w:after="0" w:afterAutospacing="1" w:line="360" w:lineRule="auto"/>
              <w:widowControl w:val="off"/>
              <w:rPr>
                <w:rFonts w:hint="eastAsia" w:ascii="宋体" w:hAnsi="宋体" w:eastAsia="宋体" w:cs="Times New Roman"/>
                <w:color w:val="auto"/>
                <w:sz w:val="21"/>
                <w:szCs w:val="21"/>
                <w:highlight w:val="none"/>
                <w:lang w:val="en-US" w:eastAsia="zh-CN"/>
              </w:rPr>
              <w:suppressLineNumbers w:val="0"/>
            </w:pPr>
            <w:r>
              <w:rPr>
                <w:rFonts w:hint="eastAsia" w:ascii="宋体" w:hAnsi="宋体" w:cs="Times New Roman"/>
                <w:color w:val="auto"/>
                <w:sz w:val="21"/>
                <w:szCs w:val="21"/>
                <w:highlight w:val="none"/>
                <w:lang w:val="en-US" w:eastAsia="zh-CN"/>
              </w:rPr>
              <w:t xml:space="preserve">优惠率</w:t>
            </w:r>
            <w:r/>
          </w:p>
        </w:tc>
      </w:tr>
      <w:tr>
        <w:trPr>
          <w:jc w:val="center"/>
          <w:trHeight w:val="614"/>
        </w:trPr>
        <w:tc>
          <w:tcPr>
            <w:shd w:val="clear" w:color="auto" w:fill="auto"/>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both"/>
              <w:keepLines w:val="0"/>
              <w:keepNext w:val="0"/>
              <w:spacing w:before="0" w:beforeAutospacing="1" w:after="0" w:afterAutospacing="1" w:line="360" w:lineRule="auto"/>
              <w:widowControl w:val="off"/>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1" w:after="0" w:afterAutospacing="1" w:line="360" w:lineRule="auto"/>
              <w:widowControl w:val="off"/>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r>
            <w:r/>
          </w:p>
        </w:tc>
      </w:tr>
      <w:tr>
        <w:trPr>
          <w:jc w:val="center"/>
          <w:trHeight w:val="614"/>
        </w:trPr>
        <w:tc>
          <w:tcPr>
            <w:gridSpan w:val="2"/>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1" w:after="0" w:afterAutospacing="1" w:line="360" w:lineRule="auto"/>
              <w:widowControl w:val="off"/>
              <w:rPr>
                <w:rFonts w:hint="eastAsia" w:ascii="宋体" w:hAnsi="宋体" w:eastAsia="宋体" w:cs="Times New Roman"/>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优惠率</w:t>
            </w:r>
            <w:r/>
          </w:p>
        </w:tc>
      </w:tr>
    </w:tbl>
    <w:p>
      <w:pPr>
        <w:ind w:left="1024" w:right="300" w:firstLine="2310"/>
        <w:jc w:val="left"/>
        <w:keepLines w:val="0"/>
        <w:keepNext w:val="0"/>
        <w:spacing w:before="0" w:beforeAutospacing="1" w:after="0" w:afterAutospacing="1"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1024" w:right="300" w:firstLine="3780"/>
        <w:jc w:val="left"/>
        <w:keepLines w:val="0"/>
        <w:keepNext w:val="0"/>
        <w:spacing w:before="0" w:beforeAutospacing="1" w:after="0" w:afterAutospacing="1"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日    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Cs/>
          <w:color w:val="auto"/>
          <w:sz w:val="21"/>
          <w:szCs w:val="21"/>
          <w:highlight w:val="none"/>
        </w:rPr>
        <w:t xml:space="preserve">开标一览表投标总报价应与投标报价分析表（一）加投标报价分析表（二）</w:t>
      </w:r>
      <w:r>
        <w:rPr>
          <w:rFonts w:hint="eastAsia" w:ascii="宋体" w:hAnsi="宋体" w:eastAsia="宋体" w:cs="宋体"/>
          <w:color w:val="auto"/>
          <w:sz w:val="21"/>
          <w:szCs w:val="21"/>
          <w:highlight w:val="none"/>
        </w:rPr>
        <w:t xml:space="preserve">的合计金额一致；否则，以开标一览表为准。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格式4：投标报价分析</w:t>
      </w:r>
      <w:r>
        <w:rPr>
          <w:rFonts w:hint="eastAsia" w:ascii="宋体" w:hAnsi="宋体" w:eastAsia="宋体" w:cs="宋体"/>
          <w:b/>
          <w:color w:val="auto"/>
          <w:sz w:val="21"/>
          <w:szCs w:val="21"/>
          <w:highlight w:val="none"/>
          <w:lang w:val="zh-CN"/>
        </w:rPr>
        <w:t xml:space="preserve">表</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自拟</w:t>
      </w: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格式5：服务人员表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服务人员表</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项目名称：                                            招标编号：</w:t>
      </w:r>
      <w:r/>
    </w:p>
    <w:tbl>
      <w:tblPr>
        <w:tblStyle w:val="77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459"/>
        <w:gridCol w:w="1755"/>
        <w:gridCol w:w="1267"/>
        <w:gridCol w:w="1209"/>
        <w:gridCol w:w="1291"/>
        <w:gridCol w:w="1167"/>
      </w:tblGrid>
      <w:tr>
        <w:trPr>
          <w:trHeight w:val="760"/>
        </w:trPr>
        <w:tc>
          <w:tcPr>
            <w:tcW w:w="40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23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w:t>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姓名</w:t>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w:t>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学历</w:t>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职称</w:t>
            </w:r>
            <w:r/>
          </w:p>
        </w:tc>
      </w:tr>
      <w:tr>
        <w:trPr>
          <w:cantSplit/>
          <w:trHeight w:val="495"/>
        </w:trPr>
        <w:tc>
          <w:tcPr>
            <w:tcW w:w="403" w:type="pct"/>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2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04"/>
        </w:trPr>
        <w:tc>
          <w:tcPr>
            <w:tcW w:w="403" w:type="pct"/>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2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2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3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3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3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3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3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95"/>
        </w:trPr>
        <w:tc>
          <w:tcPr>
            <w:tcW w:w="403"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3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3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0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4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8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2"/>
        <w:ind w:firstLine="105"/>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格式6：服务方案</w:t>
      </w:r>
      <w:r/>
    </w:p>
    <w:p>
      <w:pPr>
        <w:jc w:val="center"/>
        <w:spacing w:line="440" w:lineRule="exact"/>
        <w:tabs>
          <w:tab w:val="left" w:pos="13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tbl>
      <w:tblPr>
        <w:tblStyle w:val="7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6"/>
      </w:tblGrid>
      <w:tr>
        <w:trPr>
          <w:jc w:val="center"/>
          <w:trHeight w:val="1676"/>
        </w:trPr>
        <w:tc>
          <w:tcPr>
            <w:tcW w:w="5000" w:type="pct"/>
            <w:vAlign w:val="top"/>
            <w:textDirection w:val="lrTb"/>
            <w:noWrap w:val="false"/>
          </w:tcPr>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提示：</w:t>
            </w:r>
            <w:r/>
          </w:p>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1、投标人应针对本次招标项目特点编写公司</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后的服务方案、工作计划等。</w:t>
            </w:r>
            <w:r/>
          </w:p>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2、投标人可根据自身情况编写，本页不够可另加页附后。</w:t>
            </w:r>
            <w:r/>
          </w:p>
        </w:tc>
      </w:tr>
      <w:tr>
        <w:trPr>
          <w:jc w:val="center"/>
          <w:trHeight w:val="7214"/>
        </w:trPr>
        <w:tc>
          <w:tcPr>
            <w:tcW w:w="5000" w:type="pct"/>
            <w:vAlign w:val="top"/>
            <w:textDirection w:val="lrTb"/>
            <w:noWrap w:val="false"/>
          </w:tcPr>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单位名称（盖章）：</w:t>
            </w:r>
            <w:r/>
          </w:p>
          <w:p>
            <w:pPr>
              <w:ind w:left="0" w:right="0" w:firstLine="1785"/>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r>
            <w:r/>
          </w:p>
          <w:p>
            <w:pPr>
              <w:ind w:left="0" w:right="0" w:firstLine="3255"/>
              <w:keepLines w:val="0"/>
              <w:keepNext w:val="0"/>
              <w:spacing w:before="0" w:beforeAutospacing="0" w:after="0" w:afterAutospacing="0" w:line="440" w:lineRule="exact"/>
              <w:tabs>
                <w:tab w:val="left" w:pos="132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日期：</w:t>
            </w:r>
            <w:r/>
          </w:p>
          <w:p>
            <w:pPr>
              <w:ind w:left="0" w:right="0" w:firstLine="210"/>
              <w:keepLines w:val="0"/>
              <w:keepNext w:val="0"/>
              <w:spacing w:before="0" w:beforeAutospacing="0" w:after="0" w:afterAutospacing="0" w:line="440" w:lineRule="exact"/>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格式7：服务条款偏离表</w:t>
      </w:r>
      <w:r/>
    </w:p>
    <w:p>
      <w:pPr>
        <w:jc w:val="center"/>
        <w:spacing w:before="120" w:after="360" w:line="360" w:lineRule="auto"/>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 xml:space="preserve">服务条款偏离表</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编号：</w:t>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012"/>
        <w:gridCol w:w="3246"/>
        <w:gridCol w:w="1687"/>
        <w:gridCol w:w="2023"/>
      </w:tblGrid>
      <w:tr>
        <w:trPr>
          <w:cantSplit/>
          <w:trHeight w:val="902"/>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项目</w:t>
            </w:r>
            <w:r/>
          </w:p>
        </w:tc>
        <w:tc>
          <w:tcPr>
            <w:tcW w:w="163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磋商</w:t>
            </w:r>
            <w:r>
              <w:rPr>
                <w:rFonts w:hint="eastAsia" w:ascii="宋体" w:hAnsi="宋体" w:eastAsia="宋体" w:cs="宋体"/>
                <w:b/>
                <w:bCs/>
                <w:color w:val="auto"/>
                <w:sz w:val="21"/>
                <w:szCs w:val="21"/>
                <w:highlight w:val="none"/>
              </w:rPr>
              <w:t xml:space="preserve">文件服务要求</w:t>
            </w:r>
            <w:r/>
          </w:p>
        </w:tc>
        <w:tc>
          <w:tcPr>
            <w:tcW w:w="84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响应情况</w:t>
            </w:r>
            <w:r/>
          </w:p>
        </w:tc>
        <w:tc>
          <w:tcPr>
            <w:tcW w:w="101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3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4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6"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人：（公章）</w:t>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1、服务条款内容主要是针对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文件有关的服务要求等内容。</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2、无偏离应在本表“</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响应情况”栏注明“无服务条款偏离”的字样。</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3、响应单位需对文件中的</w:t>
      </w:r>
      <w:r>
        <w:rPr>
          <w:rFonts w:hint="eastAsia" w:ascii="宋体" w:hAnsi="宋体" w:eastAsia="宋体" w:cs="宋体"/>
          <w:color w:val="auto"/>
          <w:sz w:val="21"/>
          <w:szCs w:val="21"/>
          <w:highlight w:val="none"/>
        </w:rPr>
        <w:t xml:space="preserve">服务条款内容</w:t>
      </w:r>
      <w:r>
        <w:rPr>
          <w:rFonts w:hint="eastAsia" w:ascii="宋体" w:hAnsi="宋体" w:eastAsia="宋体" w:cs="宋体"/>
          <w:color w:val="auto"/>
          <w:sz w:val="21"/>
          <w:szCs w:val="21"/>
          <w:highlight w:val="none"/>
          <w:lang w:val="en-US" w:eastAsia="zh-CN"/>
        </w:rPr>
        <w:t xml:space="preserve">逐项作出响应或偏离。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格式8：商务条款偏离表</w:t>
      </w:r>
      <w:r/>
    </w:p>
    <w:p>
      <w:pPr>
        <w:jc w:val="center"/>
        <w:spacing w:before="120" w:after="360" w:line="360" w:lineRule="auto"/>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 xml:space="preserve">商务条款偏离表</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                                             项目编号：                        </w:t>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011"/>
        <w:gridCol w:w="2567"/>
        <w:gridCol w:w="1856"/>
        <w:gridCol w:w="2533"/>
      </w:tblGrid>
      <w:tr>
        <w:trPr>
          <w:cantSplit/>
          <w:trHeight w:val="902"/>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名称</w:t>
            </w:r>
            <w:r/>
          </w:p>
        </w:tc>
        <w:tc>
          <w:tcPr>
            <w:tcW w:w="12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磋商</w:t>
            </w:r>
            <w:r>
              <w:rPr>
                <w:rFonts w:hint="eastAsia" w:ascii="宋体" w:hAnsi="宋体" w:eastAsia="宋体" w:cs="宋体"/>
                <w:b/>
                <w:bCs/>
                <w:color w:val="auto"/>
                <w:sz w:val="21"/>
                <w:szCs w:val="21"/>
                <w:highlight w:val="none"/>
              </w:rPr>
              <w:t xml:space="preserve">文件商务要求</w:t>
            </w:r>
            <w:r/>
          </w:p>
        </w:tc>
        <w:tc>
          <w:tcPr>
            <w:tcW w:w="9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响应情况</w:t>
            </w:r>
            <w:r/>
          </w:p>
        </w:tc>
        <w:tc>
          <w:tcPr>
            <w:tcW w:w="12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服务期限</w:t>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付款方式</w:t>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合同主要条款</w:t>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8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2"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人：（公章）</w:t>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jc w:val="left"/>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1、商务条款内容主要是针对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文件有关的付款条件、服务期、合同主要条款等内容。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2、无偏离应在本表“</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响应情况”栏注明“无商务条款偏离”的字样。</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3、响应单位需对文件中的商务条款</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逐项作出响应或偏离。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br w:type="page" w:clear="all"/>
      </w:r>
      <w:r>
        <w:rPr>
          <w:rFonts w:hint="eastAsia" w:ascii="宋体" w:hAnsi="宋体" w:eastAsia="宋体" w:cs="宋体"/>
          <w:b/>
          <w:color w:val="auto"/>
          <w:sz w:val="21"/>
          <w:szCs w:val="21"/>
          <w:highlight w:val="none"/>
          <w:lang w:val="zh-CN"/>
        </w:rPr>
        <w:t xml:space="preserve">格式</w:t>
      </w:r>
      <w:r>
        <w:rPr>
          <w:rFonts w:hint="eastAsia" w:ascii="宋体" w:hAnsi="宋体" w:eastAsia="宋体" w:cs="宋体"/>
          <w:b/>
          <w:color w:val="auto"/>
          <w:sz w:val="21"/>
          <w:szCs w:val="21"/>
          <w:highlight w:val="none"/>
        </w:rPr>
        <w:t xml:space="preserve">9</w:t>
      </w:r>
      <w:r>
        <w:rPr>
          <w:rFonts w:hint="eastAsia" w:ascii="宋体" w:hAnsi="宋体" w:eastAsia="宋体" w:cs="宋体"/>
          <w:b/>
          <w:color w:val="auto"/>
          <w:sz w:val="21"/>
          <w:szCs w:val="21"/>
          <w:highlight w:val="none"/>
          <w:lang w:val="zh-CN"/>
        </w:rPr>
        <w:t xml:space="preserve">：</w:t>
      </w:r>
      <w:r>
        <w:rPr>
          <w:rFonts w:hint="eastAsia" w:ascii="宋体" w:hAnsi="宋体" w:cs="宋体"/>
          <w:b/>
          <w:color w:val="auto"/>
          <w:sz w:val="21"/>
          <w:szCs w:val="21"/>
          <w:highlight w:val="none"/>
          <w:lang w:val="zh-CN"/>
        </w:rPr>
        <w:t xml:space="preserve">供应商</w:t>
      </w:r>
      <w:r>
        <w:rPr>
          <w:rFonts w:hint="eastAsia" w:ascii="宋体" w:hAnsi="宋体" w:eastAsia="宋体" w:cs="宋体"/>
          <w:b/>
          <w:color w:val="auto"/>
          <w:sz w:val="21"/>
          <w:szCs w:val="21"/>
          <w:highlight w:val="none"/>
          <w:lang w:val="zh-CN"/>
        </w:rPr>
        <w:t xml:space="preserve">情况表</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                                 </w:t>
      </w:r>
      <w:r>
        <w:rPr>
          <w:rFonts w:hint="eastAsia" w:ascii="宋体" w:hAnsi="宋体" w:cs="宋体"/>
          <w:b/>
          <w:color w:val="auto"/>
          <w:sz w:val="21"/>
          <w:szCs w:val="21"/>
          <w:highlight w:val="none"/>
          <w:lang w:val="zh-CN"/>
        </w:rPr>
        <w:t xml:space="preserve">供应商</w:t>
      </w:r>
      <w:r>
        <w:rPr>
          <w:rFonts w:hint="eastAsia" w:ascii="宋体" w:hAnsi="宋体" w:eastAsia="宋体" w:cs="宋体"/>
          <w:b/>
          <w:color w:val="auto"/>
          <w:sz w:val="21"/>
          <w:szCs w:val="21"/>
          <w:highlight w:val="none"/>
          <w:lang w:val="zh-CN"/>
        </w:rPr>
        <w:t xml:space="preserve">情况表</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单位名称（盖章）</w:t>
      </w:r>
      <w:r/>
    </w:p>
    <w:tbl>
      <w:tblPr>
        <w:tblStyle w:val="77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467"/>
        <w:gridCol w:w="2051"/>
        <w:gridCol w:w="1786"/>
        <w:gridCol w:w="2648"/>
      </w:tblGrid>
      <w:tr>
        <w:trPr>
          <w:cantSplit/>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法定代表人/负责人</w:t>
            </w:r>
            <w:r/>
          </w:p>
        </w:tc>
        <w:tc>
          <w:tcPr>
            <w:tcW w:w="1030"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成立日期</w:t>
            </w:r>
            <w:r/>
          </w:p>
        </w:tc>
        <w:tc>
          <w:tcPr>
            <w:tcW w:w="1329"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企业地址</w:t>
            </w:r>
            <w:r/>
          </w:p>
        </w:tc>
        <w:tc>
          <w:tcPr>
            <w:tcW w:w="1030"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注册资本</w:t>
            </w:r>
            <w:r/>
          </w:p>
        </w:tc>
        <w:tc>
          <w:tcPr>
            <w:tcW w:w="1329" w:type="pct"/>
            <w:vAlign w:val="top"/>
            <w:textDirection w:val="lrTb"/>
            <w:noWrap w:val="false"/>
          </w:tcPr>
          <w:p>
            <w:pPr>
              <w:ind w:left="0" w:right="0" w:firstLine="147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万元</w:t>
            </w:r>
            <w:r/>
          </w:p>
        </w:tc>
      </w:tr>
      <w:tr>
        <w:trPr>
          <w:cantSplit/>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生产范围</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职工人数</w:t>
            </w:r>
            <w:r/>
          </w:p>
        </w:tc>
        <w:tc>
          <w:tcPr>
            <w:tcW w:w="1030"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其中：有中高级以上职称的人数</w:t>
            </w:r>
            <w:r/>
          </w:p>
        </w:tc>
        <w:tc>
          <w:tcPr>
            <w:tcW w:w="1329"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资产总计</w:t>
            </w:r>
            <w:r/>
          </w:p>
        </w:tc>
        <w:tc>
          <w:tcPr>
            <w:tcW w:w="1030"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c>
          <w:tcPr>
            <w:tcW w:w="897"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净资产</w:t>
            </w:r>
            <w:r/>
          </w:p>
        </w:tc>
        <w:tc>
          <w:tcPr>
            <w:tcW w:w="1329"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r>
      <w:tr>
        <w:trPr>
          <w:cantSplit/>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股东权益</w:t>
            </w:r>
            <w:r/>
          </w:p>
        </w:tc>
        <w:tc>
          <w:tcPr>
            <w:tcW w:w="1030"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c>
          <w:tcPr>
            <w:tcW w:w="897"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销售收入</w:t>
            </w:r>
            <w:r/>
          </w:p>
        </w:tc>
        <w:tc>
          <w:tcPr>
            <w:tcW w:w="1329"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cantSplit/>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实现利润</w:t>
            </w:r>
            <w:r/>
          </w:p>
        </w:tc>
        <w:tc>
          <w:tcPr>
            <w:tcW w:w="1030"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c>
          <w:tcPr>
            <w:tcW w:w="89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29"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营业面积</w:t>
            </w:r>
            <w:r/>
          </w:p>
        </w:tc>
        <w:tc>
          <w:tcPr>
            <w:tcW w:w="1030"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平方米</w:t>
            </w:r>
            <w:r/>
          </w:p>
        </w:tc>
        <w:tc>
          <w:tcPr>
            <w:tcW w:w="897"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其中：</w:t>
            </w:r>
            <w:r/>
          </w:p>
        </w:tc>
        <w:tc>
          <w:tcPr>
            <w:tcW w:w="1329"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自有面积     平方米</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承租面积     平方米</w:t>
            </w:r>
            <w:r/>
          </w:p>
        </w:tc>
      </w:tr>
      <w:tr>
        <w:trPr>
          <w:cantSplit/>
          <w:trHeight w:val="356"/>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单位简历及内设机构情况</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431"/>
        </w:trPr>
        <w:tc>
          <w:tcPr>
            <w:tcW w:w="1742" w:type="pct"/>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单位优势及特长</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近两年来完成或正在履行的重大合同情况</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最近2年内在经营过程中受到何种奖励或处分</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（包括财政、工商、税务、物价、技监部门稽查情况和结果）</w:t>
            </w:r>
            <w:r/>
          </w:p>
        </w:tc>
      </w:tr>
      <w:tr>
        <w:trPr>
          <w:cantSplit/>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（包括解决方式和结果）</w:t>
            </w:r>
            <w:r/>
          </w:p>
        </w:tc>
      </w:tr>
      <w:tr>
        <w:trPr>
          <w:cantSplit/>
          <w:trHeight w:val="1161"/>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获得技术认证的工程师及简介</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1206"/>
        </w:trPr>
        <w:tc>
          <w:tcPr>
            <w:tcW w:w="1742"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其他需要说明的情况</w:t>
            </w:r>
            <w:r/>
          </w:p>
        </w:tc>
        <w:tc>
          <w:tcPr>
            <w:gridSpan w:val="3"/>
            <w:tcW w:w="3257" w:type="pct"/>
            <w:vAlign w:val="top"/>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格式10：类似项目业绩</w:t>
      </w:r>
      <w:r/>
    </w:p>
    <w:p>
      <w:pPr>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类似项目业绩</w:t>
      </w:r>
      <w:r/>
    </w:p>
    <w:p>
      <w:pPr>
        <w:rPr>
          <w:rFonts w:hint="eastAsia" w:ascii="宋体" w:hAnsi="宋体" w:eastAsia="宋体" w:cs="宋体"/>
          <w:bCs/>
          <w:color w:val="auto"/>
          <w:sz w:val="21"/>
          <w:szCs w:val="21"/>
          <w:highlight w:val="none"/>
          <w:u w:val="singl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名称：</w:t>
      </w:r>
      <w:r>
        <w:rPr>
          <w:rFonts w:hint="eastAsia" w:ascii="宋体" w:hAnsi="宋体" w:eastAsia="宋体" w:cs="宋体"/>
          <w:bCs/>
          <w:color w:val="auto"/>
          <w:sz w:val="21"/>
          <w:szCs w:val="21"/>
          <w:highlight w:val="none"/>
          <w:u w:val="single"/>
        </w:rPr>
        <w:t xml:space="preserve">             （公章）</w:t>
      </w:r>
      <w:r/>
    </w:p>
    <w:tbl>
      <w:tblPr>
        <w:tblStyle w:val="773"/>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50"/>
        <w:gridCol w:w="1720"/>
        <w:gridCol w:w="2063"/>
        <w:gridCol w:w="1691"/>
        <w:gridCol w:w="1928"/>
        <w:gridCol w:w="1538"/>
      </w:tblGrid>
      <w:tr>
        <w:trPr>
          <w:cantSplit/>
          <w:jc w:val="center"/>
          <w:trHeight w:val="740"/>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合同期</w:t>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管理服务内容</w:t>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合同金额（万元）</w:t>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人：（公章）</w:t>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jc w:val="left"/>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rPr>
        <w:t xml:space="preserve">说明：</w:t>
      </w:r>
      <w:r>
        <w:rPr>
          <w:rFonts w:hint="eastAsia" w:ascii="宋体" w:hAnsi="宋体" w:eastAsia="宋体" w:cs="宋体"/>
          <w:color w:val="auto"/>
          <w:sz w:val="21"/>
          <w:szCs w:val="21"/>
          <w:highlight w:val="none"/>
        </w:rPr>
        <w:t xml:space="preserve">以上内容必须是真实的，否则一经查实，按相关规定处理。</w:t>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zh-CN"/>
        </w:rPr>
        <w:t xml:space="preserve">格式1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zh-CN"/>
        </w:rPr>
        <w:t xml:space="preserve">：关</w:t>
      </w:r>
      <w:r>
        <w:rPr>
          <w:rFonts w:hint="eastAsia" w:ascii="宋体" w:hAnsi="宋体" w:eastAsia="宋体" w:cs="宋体"/>
          <w:b/>
          <w:color w:val="auto"/>
          <w:sz w:val="21"/>
          <w:szCs w:val="21"/>
          <w:highlight w:val="none"/>
          <w:lang w:val="zh-CN"/>
        </w:rPr>
        <w:t xml:space="preserve">于资格文件的声明函</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cente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关于资格文件的声明函</w:t>
      </w:r>
      <w:r/>
    </w:p>
    <w:p>
      <w:pPr>
        <w:ind w:firstLine="420"/>
        <w:jc w:val="cente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ind w:firstLine="66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本公司愿就由贵</w:t>
      </w: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lang w:val="zh-CN"/>
        </w:rPr>
        <w:t xml:space="preserve">组织实施的编号为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号的招标活动进行投标。本公司所提交的</w:t>
      </w:r>
      <w:r>
        <w:rPr>
          <w:rFonts w:hint="eastAsia" w:ascii="宋体" w:hAnsi="宋体" w:cs="宋体"/>
          <w:color w:val="auto"/>
          <w:sz w:val="21"/>
          <w:szCs w:val="21"/>
          <w:highlight w:val="none"/>
          <w:lang w:val="zh-CN"/>
        </w:rPr>
        <w:t xml:space="preserve">响应文件</w:t>
      </w:r>
      <w:r>
        <w:rPr>
          <w:rFonts w:hint="eastAsia" w:ascii="宋体" w:hAnsi="宋体" w:eastAsia="宋体" w:cs="宋体"/>
          <w:color w:val="auto"/>
          <w:sz w:val="21"/>
          <w:szCs w:val="21"/>
          <w:highlight w:val="none"/>
          <w:lang w:val="zh-CN"/>
        </w:rPr>
        <w:t xml:space="preserve">中所有关于投标资格的文件、证明和陈述均是真实的、有效的、准确的。若与真实情况不符，本公司愿意承担由此而产生的一切后果。本公司愿意提供招标文件中要求的所有资料，本公司承诺我单位符合招标文件</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须知要求中“合格</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的一般条件”的资格要求。</w:t>
      </w:r>
      <w:r/>
    </w:p>
    <w:p>
      <w:pPr>
        <w:ind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125"/>
        <w:spacing w:line="400" w:lineRule="exact"/>
        <w:rPr>
          <w:rFonts w:hint="eastAsia" w:ascii="宋体" w:hAnsi="宋体" w:eastAsia="宋体" w:cs="宋体"/>
          <w:b/>
          <w:color w:val="auto"/>
          <w:sz w:val="21"/>
          <w:szCs w:val="21"/>
          <w:highlight w:val="none"/>
          <w:lang w:val="zh-CN"/>
        </w:rPr>
      </w:pPr>
      <w:r>
        <w:rPr>
          <w:rFonts w:hint="eastAsia" w:ascii="宋体" w:hAnsi="宋体" w:eastAsia="宋体" w:cs="宋体"/>
          <w:color w:val="auto"/>
          <w:spacing w:val="20"/>
          <w:sz w:val="21"/>
          <w:szCs w:val="21"/>
          <w:highlight w:val="none"/>
          <w:lang w:val="en-US" w:eastAsia="zh-CN"/>
        </w:rPr>
        <w:t xml:space="preserve">响应</w:t>
      </w:r>
      <w:r>
        <w:rPr>
          <w:rFonts w:hint="eastAsia" w:ascii="宋体" w:hAnsi="宋体" w:eastAsia="宋体" w:cs="宋体"/>
          <w:color w:val="auto"/>
          <w:spacing w:val="20"/>
          <w:sz w:val="21"/>
          <w:szCs w:val="21"/>
          <w:highlight w:val="none"/>
        </w:rPr>
        <w:t xml:space="preserve">人（公章</w:t>
      </w:r>
      <w:r>
        <w:rPr>
          <w:rFonts w:hint="eastAsia" w:ascii="宋体" w:hAnsi="宋体" w:eastAsia="宋体" w:cs="宋体"/>
          <w:color w:val="auto"/>
          <w:spacing w:val="20"/>
          <w:sz w:val="21"/>
          <w:szCs w:val="21"/>
          <w:highlight w:val="none"/>
          <w:lang w:val="zh-CN"/>
        </w:rPr>
        <w:t xml:space="preserve">）：   </w:t>
      </w:r>
      <w:r/>
    </w:p>
    <w:p>
      <w:pPr>
        <w:ind w:firstLine="10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法定代表人或代理人：（签字或盖章）</w:t>
      </w:r>
      <w:r/>
    </w:p>
    <w:p>
      <w:pPr>
        <w:ind w:firstLine="105"/>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格式12：中小企业声明函</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jc w:val="center"/>
        <w:keepLines w:val="0"/>
        <w:keepNext w:val="0"/>
        <w:spacing w:before="0" w:beforeAutospacing="1" w:after="0" w:afterAutospacing="1" w:line="480" w:lineRule="exact"/>
        <w:widowControl/>
        <w:rPr>
          <w:rFonts w:hint="eastAsia" w:ascii="宋体" w:hAnsi="宋体" w:eastAsia="宋体" w:cs="Times New Roman"/>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中小企业声明函（服务）</w:t>
      </w:r>
      <w:r/>
    </w:p>
    <w:p>
      <w:pPr>
        <w:ind w:left="0" w:right="0"/>
        <w:jc w:val="left"/>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u w:val="single"/>
          <w:lang w:val="en-US" w:eastAsia="zh-CN" w:bidi="ar"/>
        </w:rPr>
        <w:t xml:space="preserve">苏州捷信招投标咨询有限公司：</w:t>
      </w:r>
      <w:r/>
    </w:p>
    <w:p>
      <w:pPr>
        <w:ind w:left="0" w:right="0" w:firstLine="420"/>
        <w:jc w:val="both"/>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u w:val="single"/>
        </w:rPr>
        <w:suppressLineNumbers w:val="0"/>
      </w:pPr>
      <w:r>
        <w:rPr>
          <w:rFonts w:hint="eastAsia" w:ascii="宋体" w:hAnsi="宋体" w:eastAsia="宋体" w:cs="宋体"/>
          <w:color w:val="auto"/>
          <w:sz w:val="21"/>
          <w:szCs w:val="21"/>
          <w:highlight w:val="none"/>
          <w:lang w:val="en-US" w:eastAsia="zh-CN" w:bidi="ar"/>
        </w:rPr>
        <w:t xml:space="preserve">本公司郑重声明，根据《政府采购促进中小企业发展管理办法》（财库[20</w:t>
      </w:r>
      <w:r>
        <w:rPr>
          <w:rFonts w:hint="eastAsia" w:ascii="宋体" w:hAnsi="宋体" w:eastAsia="宋体" w:cs="Times New Roman"/>
          <w:color w:val="auto"/>
          <w:sz w:val="21"/>
          <w:szCs w:val="21"/>
          <w:highlight w:val="none"/>
          <w:lang w:val="en-US" w:eastAsia="zh-CN" w:bidi="ar"/>
        </w:rPr>
        <w:t xml:space="preserve">20</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Times New Roman"/>
          <w:color w:val="auto"/>
          <w:sz w:val="21"/>
          <w:szCs w:val="21"/>
          <w:highlight w:val="none"/>
          <w:lang w:val="en-US" w:eastAsia="zh-CN" w:bidi="ar"/>
        </w:rPr>
        <w:t xml:space="preserve">46</w:t>
      </w:r>
      <w:r>
        <w:rPr>
          <w:rFonts w:hint="eastAsia" w:ascii="宋体" w:hAnsi="宋体" w:eastAsia="宋体" w:cs="宋体"/>
          <w:color w:val="auto"/>
          <w:sz w:val="21"/>
          <w:szCs w:val="21"/>
          <w:highlight w:val="none"/>
          <w:lang w:val="en-US" w:eastAsia="zh-CN" w:bidi="ar"/>
        </w:rPr>
        <w:t xml:space="preserve">号）的规定，本公司参加</w:t>
      </w:r>
      <w:r>
        <w:rPr>
          <w:rFonts w:hint="eastAsia" w:ascii="宋体" w:hAnsi="宋体" w:eastAsia="宋体" w:cs="宋体"/>
          <w:color w:val="auto"/>
          <w:sz w:val="21"/>
          <w:szCs w:val="21"/>
          <w:highlight w:val="none"/>
          <w:u w:val="single"/>
          <w:lang w:val="en-US" w:eastAsia="zh-CN" w:bidi="ar"/>
        </w:rPr>
        <w:t xml:space="preserve">（单位名称）</w:t>
      </w:r>
      <w:r>
        <w:rPr>
          <w:rFonts w:hint="eastAsia" w:ascii="宋体" w:hAnsi="宋体" w:eastAsia="宋体" w:cs="宋体"/>
          <w:color w:val="auto"/>
          <w:sz w:val="21"/>
          <w:szCs w:val="21"/>
          <w:highlight w:val="none"/>
          <w:lang w:val="en-US" w:eastAsia="zh-CN" w:bidi="ar"/>
        </w:rPr>
        <w:t xml:space="preserve">的</w:t>
      </w:r>
      <w:r>
        <w:rPr>
          <w:rFonts w:hint="eastAsia" w:ascii="宋体" w:hAnsi="宋体" w:eastAsia="宋体" w:cs="宋体"/>
          <w:color w:val="auto"/>
          <w:sz w:val="21"/>
          <w:szCs w:val="21"/>
          <w:highlight w:val="none"/>
          <w:u w:val="single"/>
          <w:lang w:val="en-US" w:eastAsia="zh-CN" w:bidi="ar"/>
        </w:rPr>
        <w:t xml:space="preserve">（项目名称）</w:t>
      </w:r>
      <w:r>
        <w:rPr>
          <w:rFonts w:hint="eastAsia" w:ascii="宋体" w:hAnsi="宋体" w:eastAsia="宋体" w:cs="宋体"/>
          <w:color w:val="auto"/>
          <w:sz w:val="21"/>
          <w:szCs w:val="21"/>
          <w:highlight w:val="none"/>
          <w:lang w:val="en-US" w:eastAsia="zh-CN" w:bidi="ar"/>
        </w:rPr>
        <w:t xml:space="preserve">采购活动，服务全部由符合政策要求的中小企业承接。相关企业的具体情况如下：</w:t>
      </w:r>
      <w:r/>
    </w:p>
    <w:p>
      <w:pPr>
        <w:ind w:left="0" w:right="0" w:firstLine="420"/>
        <w:jc w:val="both"/>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u w:val="single"/>
          <w:lang w:val="en-US" w:eastAsia="zh-CN" w:bidi="ar"/>
        </w:rPr>
        <w:t xml:space="preserve">（项目名称）</w:t>
      </w:r>
      <w:r>
        <w:rPr>
          <w:rFonts w:hint="eastAsia" w:ascii="宋体" w:hAnsi="宋体" w:eastAsia="宋体" w:cs="宋体"/>
          <w:color w:val="auto"/>
          <w:sz w:val="21"/>
          <w:szCs w:val="21"/>
          <w:highlight w:val="none"/>
          <w:lang w:val="en-US" w:eastAsia="zh-CN" w:bidi="ar"/>
        </w:rPr>
        <w:t xml:space="preserve">，属于</w:t>
      </w:r>
      <w:r>
        <w:rPr>
          <w:rFonts w:hint="eastAsia" w:ascii="宋体" w:hAnsi="宋体" w:eastAsia="宋体" w:cs="宋体"/>
          <w:color w:val="auto"/>
          <w:sz w:val="21"/>
          <w:szCs w:val="21"/>
          <w:highlight w:val="none"/>
          <w:u w:val="single"/>
          <w:lang w:val="en-US" w:eastAsia="zh-CN" w:bidi="ar"/>
        </w:rPr>
        <w:t xml:space="preserve">（采购文件中明确的所属行业）行业</w:t>
      </w:r>
      <w:r>
        <w:rPr>
          <w:rFonts w:hint="eastAsia" w:ascii="宋体" w:hAnsi="宋体" w:eastAsia="宋体" w:cs="宋体"/>
          <w:color w:val="auto"/>
          <w:sz w:val="21"/>
          <w:szCs w:val="21"/>
          <w:highlight w:val="none"/>
          <w:lang w:val="en-US" w:eastAsia="zh-CN" w:bidi="ar"/>
        </w:rPr>
        <w:t xml:space="preserve">；承接企业为</w:t>
      </w:r>
      <w:r>
        <w:rPr>
          <w:rFonts w:hint="eastAsia" w:ascii="宋体" w:hAnsi="宋体" w:eastAsia="宋体" w:cs="宋体"/>
          <w:color w:val="auto"/>
          <w:sz w:val="21"/>
          <w:szCs w:val="21"/>
          <w:highlight w:val="none"/>
          <w:u w:val="single"/>
          <w:lang w:val="en-US" w:eastAsia="zh-CN" w:bidi="ar"/>
        </w:rPr>
        <w:t xml:space="preserve">（企业名称）</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Times New Roman"/>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Times New Roman"/>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Times New Roman"/>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万元，属于</w:t>
      </w:r>
      <w:r>
        <w:rPr>
          <w:rFonts w:hint="eastAsia" w:ascii="宋体" w:hAnsi="宋体" w:eastAsia="宋体" w:cs="宋体"/>
          <w:color w:val="auto"/>
          <w:sz w:val="21"/>
          <w:szCs w:val="21"/>
          <w:highlight w:val="none"/>
          <w:u w:val="single"/>
          <w:lang w:val="en-US" w:eastAsia="zh-CN" w:bidi="ar"/>
        </w:rPr>
        <w:t xml:space="preserve">（□中型企业、□小型企业、□微型企业）</w:t>
      </w:r>
      <w:r>
        <w:rPr>
          <w:rFonts w:hint="eastAsia" w:ascii="宋体" w:hAnsi="宋体" w:eastAsia="宋体" w:cs="宋体"/>
          <w:color w:val="auto"/>
          <w:sz w:val="21"/>
          <w:szCs w:val="21"/>
          <w:highlight w:val="none"/>
          <w:lang w:val="en-US" w:eastAsia="zh-CN" w:bidi="ar"/>
        </w:rPr>
        <w:t xml:space="preserve">；</w:t>
      </w:r>
      <w:r/>
    </w:p>
    <w:p>
      <w:pPr>
        <w:ind w:left="0" w:right="0" w:firstLine="420"/>
        <w:jc w:val="both"/>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u w:val="single"/>
          <w:lang w:val="en-US" w:eastAsia="zh-CN" w:bidi="ar"/>
        </w:rPr>
        <w:t xml:space="preserve">（项目名称）</w:t>
      </w:r>
      <w:r>
        <w:rPr>
          <w:rFonts w:hint="eastAsia" w:ascii="宋体" w:hAnsi="宋体" w:eastAsia="宋体" w:cs="宋体"/>
          <w:color w:val="auto"/>
          <w:sz w:val="21"/>
          <w:szCs w:val="21"/>
          <w:highlight w:val="none"/>
          <w:lang w:val="en-US" w:eastAsia="zh-CN" w:bidi="ar"/>
        </w:rPr>
        <w:t xml:space="preserve">，属于</w:t>
      </w:r>
      <w:r>
        <w:rPr>
          <w:rFonts w:hint="eastAsia" w:ascii="宋体" w:hAnsi="宋体" w:eastAsia="宋体" w:cs="宋体"/>
          <w:color w:val="auto"/>
          <w:sz w:val="21"/>
          <w:szCs w:val="21"/>
          <w:highlight w:val="none"/>
          <w:u w:val="single"/>
          <w:lang w:val="en-US" w:eastAsia="zh-CN" w:bidi="ar"/>
        </w:rPr>
        <w:t xml:space="preserve">（采购文件中明确的所属行业）行业</w:t>
      </w:r>
      <w:r>
        <w:rPr>
          <w:rFonts w:hint="eastAsia" w:ascii="宋体" w:hAnsi="宋体" w:eastAsia="宋体" w:cs="宋体"/>
          <w:color w:val="auto"/>
          <w:sz w:val="21"/>
          <w:szCs w:val="21"/>
          <w:highlight w:val="none"/>
          <w:lang w:val="en-US" w:eastAsia="zh-CN" w:bidi="ar"/>
        </w:rPr>
        <w:t xml:space="preserve">；承接企业为</w:t>
      </w:r>
      <w:r>
        <w:rPr>
          <w:rFonts w:hint="eastAsia" w:ascii="宋体" w:hAnsi="宋体" w:eastAsia="宋体" w:cs="宋体"/>
          <w:color w:val="auto"/>
          <w:sz w:val="21"/>
          <w:szCs w:val="21"/>
          <w:highlight w:val="none"/>
          <w:u w:val="single"/>
          <w:lang w:val="en-US" w:eastAsia="zh-CN" w:bidi="ar"/>
        </w:rPr>
        <w:t xml:space="preserve">（企业名称）</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Times New Roman"/>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Times New Roman"/>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Times New Roman"/>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万元，属于</w:t>
      </w:r>
      <w:r>
        <w:rPr>
          <w:rFonts w:hint="eastAsia" w:ascii="宋体" w:hAnsi="宋体" w:eastAsia="宋体" w:cs="宋体"/>
          <w:color w:val="auto"/>
          <w:sz w:val="21"/>
          <w:szCs w:val="21"/>
          <w:highlight w:val="none"/>
          <w:u w:val="single"/>
          <w:lang w:val="en-US" w:eastAsia="zh-CN" w:bidi="ar"/>
        </w:rPr>
        <w:t xml:space="preserve">（□中型企业、□小型企业、□微型企业）</w:t>
      </w:r>
      <w:r>
        <w:rPr>
          <w:rFonts w:hint="eastAsia" w:ascii="宋体" w:hAnsi="宋体" w:eastAsia="宋体" w:cs="宋体"/>
          <w:color w:val="auto"/>
          <w:sz w:val="21"/>
          <w:szCs w:val="21"/>
          <w:highlight w:val="none"/>
          <w:lang w:val="en-US" w:eastAsia="zh-CN" w:bidi="ar"/>
        </w:rPr>
        <w:t xml:space="preserve">；</w:t>
      </w:r>
      <w:r/>
    </w:p>
    <w:p>
      <w:pPr>
        <w:ind w:left="0" w:right="0" w:firstLine="420"/>
        <w:jc w:val="both"/>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w:t>
      </w:r>
      <w:r/>
    </w:p>
    <w:p>
      <w:pPr>
        <w:ind w:left="0" w:right="0" w:firstLine="420"/>
        <w:jc w:val="both"/>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本企业对上述声明内容的真实性负责。如有虚假，将依法承担相应责任。</w:t>
      </w:r>
      <w:r/>
    </w:p>
    <w:p>
      <w:pPr>
        <w:ind w:left="0" w:right="0"/>
        <w:jc w:val="left"/>
        <w:keepLines w:val="0"/>
        <w:keepNext w:val="0"/>
        <w:spacing w:before="0" w:beforeAutospacing="1" w:after="0" w:afterAutospacing="1" w:line="4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lang w:val="en-US" w:eastAsia="zh-CN" w:bidi="ar"/>
        </w:rPr>
        <w:t xml:space="preserve"> </w:t>
      </w:r>
      <w:r/>
    </w:p>
    <w:p>
      <w:pPr>
        <w:ind w:left="0" w:right="-200"/>
        <w:jc w:val="center"/>
        <w:keepLines w:val="0"/>
        <w:keepNext w:val="0"/>
        <w:spacing w:before="0" w:beforeAutospacing="1" w:after="0" w:afterAutospacing="1"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供应商名称：（公章） </w:t>
      </w:r>
      <w:r/>
    </w:p>
    <w:p>
      <w:pPr>
        <w:ind w:left="0" w:right="615" w:firstLine="840"/>
        <w:jc w:val="right"/>
        <w:keepLines w:val="0"/>
        <w:keepNext w:val="0"/>
        <w:spacing w:before="0" w:beforeAutospacing="1" w:after="0" w:afterAutospacing="1"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日    期：     年     月    日</w:t>
      </w:r>
      <w:r/>
    </w:p>
    <w:p>
      <w:pPr>
        <w:ind w:left="0" w:right="0"/>
        <w:jc w:val="both"/>
        <w:keepLines w:val="0"/>
        <w:keepNext w:val="0"/>
        <w:spacing w:before="0" w:beforeAutospacing="1" w:after="0" w:afterAutospacing="1" w:line="280" w:lineRule="exact"/>
        <w:widowControl/>
        <w:rPr>
          <w:rFonts w:hint="eastAsia" w:ascii="宋体" w:hAnsi="宋体" w:eastAsia="宋体" w:cs="Times New Roman"/>
          <w:b/>
          <w:bCs w:val="0"/>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br w:type="page" w:clear="all"/>
      </w:r>
      <w:r>
        <w:rPr>
          <w:rFonts w:hint="eastAsia" w:ascii="宋体" w:hAnsi="宋体" w:eastAsia="宋体" w:cs="宋体"/>
          <w:b/>
          <w:bCs w:val="0"/>
          <w:color w:val="auto"/>
          <w:sz w:val="21"/>
          <w:szCs w:val="21"/>
          <w:highlight w:val="none"/>
          <w:lang w:val="en-US" w:eastAsia="zh-CN" w:bidi="ar"/>
        </w:rPr>
        <w:t xml:space="preserve">附：中小企业划型标准规定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（一）农、林、牧、渔业。</w:t>
      </w:r>
      <w:r>
        <w:rPr>
          <w:rFonts w:hint="eastAsia" w:ascii="宋体" w:hAnsi="宋体" w:eastAsia="宋体" w:cs="宋体"/>
          <w:color w:val="auto"/>
          <w:sz w:val="21"/>
          <w:szCs w:val="21"/>
          <w:highlight w:val="none"/>
          <w:lang w:val="en-US" w:eastAsia="zh-CN" w:bidi="ar"/>
        </w:rPr>
        <w:t xml:space="preserve">营业收入20000万元以下的为中小微型企业。其中，营业收入500万元及以上的为中型企业，营业收入50万元及以上的为小型企业，营业收入50万元以下的为微型企业。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（二）工业。</w:t>
      </w:r>
      <w:r>
        <w:rPr>
          <w:rFonts w:hint="eastAsia" w:ascii="宋体" w:hAnsi="宋体" w:eastAsia="宋体" w:cs="宋体"/>
          <w:color w:val="auto"/>
          <w:sz w:val="21"/>
          <w:szCs w:val="21"/>
          <w:highlight w:val="none"/>
          <w:lang w:val="en-US" w:eastAsia="zh-CN"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（三）建筑业。</w:t>
      </w:r>
      <w:r>
        <w:rPr>
          <w:rFonts w:hint="eastAsia" w:ascii="宋体" w:hAnsi="宋体" w:eastAsia="宋体" w:cs="宋体"/>
          <w:color w:val="auto"/>
          <w:sz w:val="21"/>
          <w:szCs w:val="21"/>
          <w:highlight w:val="none"/>
          <w:lang w:val="en-US" w:eastAsia="zh-CN"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（四）批发业。</w:t>
      </w:r>
      <w:r>
        <w:rPr>
          <w:rFonts w:hint="eastAsia" w:ascii="宋体" w:hAnsi="宋体" w:eastAsia="宋体" w:cs="宋体"/>
          <w:color w:val="auto"/>
          <w:sz w:val="21"/>
          <w:szCs w:val="21"/>
          <w:highlight w:val="none"/>
          <w:lang w:val="en-US" w:eastAsia="zh-CN"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（五）零售业。</w:t>
      </w:r>
      <w:r>
        <w:rPr>
          <w:rFonts w:hint="eastAsia" w:ascii="宋体" w:hAnsi="宋体" w:eastAsia="宋体" w:cs="宋体"/>
          <w:color w:val="auto"/>
          <w:sz w:val="21"/>
          <w:szCs w:val="21"/>
          <w:highlight w:val="none"/>
          <w:lang w:val="en-US" w:eastAsia="zh-CN"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（六）交通运输业。</w:t>
      </w:r>
      <w:r>
        <w:rPr>
          <w:rFonts w:hint="eastAsia" w:ascii="宋体" w:hAnsi="宋体" w:eastAsia="宋体" w:cs="宋体"/>
          <w:color w:val="auto"/>
          <w:sz w:val="21"/>
          <w:szCs w:val="21"/>
          <w:highlight w:val="none"/>
          <w:lang w:val="en-US" w:eastAsia="zh-CN"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（七）仓储业。</w:t>
      </w:r>
      <w:r>
        <w:rPr>
          <w:rFonts w:hint="eastAsia" w:ascii="宋体" w:hAnsi="宋体" w:eastAsia="宋体" w:cs="宋体"/>
          <w:color w:val="auto"/>
          <w:sz w:val="21"/>
          <w:szCs w:val="21"/>
          <w:highlight w:val="none"/>
          <w:lang w:val="en-US" w:eastAsia="zh-CN"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（八）邮政业。</w:t>
      </w:r>
      <w:r>
        <w:rPr>
          <w:rFonts w:hint="eastAsia" w:ascii="宋体" w:hAnsi="宋体" w:eastAsia="宋体" w:cs="宋体"/>
          <w:color w:val="auto"/>
          <w:sz w:val="21"/>
          <w:szCs w:val="21"/>
          <w:highlight w:val="none"/>
          <w:lang w:val="en-US" w:eastAsia="zh-CN"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（九）住宿业。</w:t>
      </w:r>
      <w:r>
        <w:rPr>
          <w:rFonts w:hint="eastAsia" w:ascii="宋体" w:hAnsi="宋体" w:eastAsia="宋体" w:cs="宋体"/>
          <w:color w:val="auto"/>
          <w:sz w:val="21"/>
          <w:szCs w:val="21"/>
          <w:highlight w:val="none"/>
          <w:lang w:val="en-US" w:eastAsia="zh-CN"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（十）餐饮业。</w:t>
      </w:r>
      <w:r>
        <w:rPr>
          <w:rFonts w:hint="eastAsia" w:ascii="宋体" w:hAnsi="宋体" w:eastAsia="宋体" w:cs="宋体"/>
          <w:color w:val="auto"/>
          <w:sz w:val="21"/>
          <w:szCs w:val="21"/>
          <w:highlight w:val="none"/>
          <w:lang w:val="en-US" w:eastAsia="zh-CN"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（十一）信息传输业。</w:t>
      </w:r>
      <w:r>
        <w:rPr>
          <w:rFonts w:hint="eastAsia" w:ascii="宋体" w:hAnsi="宋体" w:eastAsia="宋体" w:cs="宋体"/>
          <w:color w:val="auto"/>
          <w:sz w:val="21"/>
          <w:szCs w:val="21"/>
          <w:highlight w:val="none"/>
          <w:lang w:val="en-US" w:eastAsia="zh-CN"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（十二）软件和信息技术服务业。</w:t>
      </w:r>
      <w:r>
        <w:rPr>
          <w:rFonts w:hint="eastAsia" w:ascii="宋体" w:hAnsi="宋体" w:eastAsia="宋体" w:cs="宋体"/>
          <w:color w:val="auto"/>
          <w:sz w:val="21"/>
          <w:szCs w:val="21"/>
          <w:highlight w:val="none"/>
          <w:lang w:val="en-US" w:eastAsia="zh-CN"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（十三）房地产开发经营。</w:t>
      </w:r>
      <w:r>
        <w:rPr>
          <w:rFonts w:hint="eastAsia" w:ascii="宋体" w:hAnsi="宋体" w:eastAsia="宋体" w:cs="宋体"/>
          <w:color w:val="auto"/>
          <w:sz w:val="21"/>
          <w:szCs w:val="21"/>
          <w:highlight w:val="none"/>
          <w:lang w:val="en-US" w:eastAsia="zh-CN"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（十四）物业管理。</w:t>
      </w:r>
      <w:r>
        <w:rPr>
          <w:rFonts w:hint="eastAsia" w:ascii="宋体" w:hAnsi="宋体" w:eastAsia="宋体" w:cs="宋体"/>
          <w:color w:val="auto"/>
          <w:sz w:val="21"/>
          <w:szCs w:val="21"/>
          <w:highlight w:val="none"/>
          <w:lang w:val="en-US" w:eastAsia="zh-CN" w:bidi="ar"/>
        </w:rPr>
        <w:t xml:space="preserve">从业人员1000人以下或营业收入5000万元以下的为中小微型企业。其中，从业人员</w:t>
      </w:r>
      <w:r/>
    </w:p>
    <w:p>
      <w:pPr>
        <w:ind w:left="0" w:right="0"/>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（十五）租赁和商务服务业。</w:t>
      </w:r>
      <w:r>
        <w:rPr>
          <w:rFonts w:hint="eastAsia" w:ascii="宋体" w:hAnsi="宋体" w:eastAsia="宋体" w:cs="宋体"/>
          <w:color w:val="auto"/>
          <w:sz w:val="21"/>
          <w:szCs w:val="21"/>
          <w:highlight w:val="none"/>
          <w:lang w:val="en-US" w:eastAsia="zh-CN" w:bidi="ar"/>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02"/>
        <w:jc w:val="both"/>
        <w:keepLines w:val="0"/>
        <w:keepNext w:val="0"/>
        <w:spacing w:before="0" w:beforeAutospacing="1" w:after="0" w:afterAutospacing="1" w:line="28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（十六）其他未列明行业。</w:t>
      </w:r>
      <w:r>
        <w:rPr>
          <w:rFonts w:hint="eastAsia" w:ascii="宋体" w:hAnsi="宋体" w:eastAsia="宋体" w:cs="宋体"/>
          <w:color w:val="auto"/>
          <w:sz w:val="21"/>
          <w:szCs w:val="21"/>
          <w:highlight w:val="none"/>
          <w:lang w:val="en-US" w:eastAsia="zh-CN" w:bidi="ar"/>
        </w:rPr>
        <w:t xml:space="preserve">从业人员300人以下的为中小微型企业。其中，从业人员100人及以上的为中型企业；从业人员10人及以上的为小型企业；从业人员10人以下的为微型企业。</w:t>
      </w:r>
      <w:r/>
    </w:p>
    <w:p>
      <w:pPr>
        <w:ind w:firstLine="46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格式13：</w:t>
      </w:r>
      <w:r>
        <w:rPr>
          <w:rFonts w:hint="eastAsia" w:ascii="宋体" w:hAnsi="宋体" w:eastAsia="宋体" w:cs="宋体"/>
          <w:b/>
          <w:bCs/>
          <w:color w:val="auto"/>
          <w:sz w:val="21"/>
          <w:szCs w:val="21"/>
          <w:highlight w:val="none"/>
          <w:lang w:val="zh-CN"/>
        </w:rPr>
        <w:t xml:space="preserve">残疾人福利性单位声明函（如有）</w:t>
      </w:r>
      <w:r/>
    </w:p>
    <w:p>
      <w:pPr>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jc w:val="cente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残疾人福利性单位声明函</w:t>
      </w:r>
      <w:r/>
    </w:p>
    <w:p>
      <w:pPr>
        <w:jc w:val="cente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44"/>
        <w:spacing w:line="44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〔2017〕141</w:t>
      </w:r>
      <w:r>
        <w:rPr>
          <w:rFonts w:hint="eastAsia" w:ascii="宋体" w:hAnsi="宋体" w:eastAsia="宋体" w:cs="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本单位对上述声明的真实性负责。如有虚假，将依法承担相应责任。</w:t>
      </w:r>
      <w:r/>
    </w:p>
    <w:p>
      <w:pPr>
        <w:ind w:firstLine="444"/>
        <w:spacing w:line="44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44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1560" w:firstLine="444"/>
        <w:jc w:val="center"/>
        <w:spacing w:line="440" w:lineRule="exact"/>
        <w:tabs>
          <w:tab w:val="left" w:pos="4860" w:leader="none"/>
        </w:tabs>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单位名称（盖章）：</w:t>
      </w:r>
      <w:r/>
    </w:p>
    <w:p>
      <w:pPr>
        <w:ind w:right="1560" w:firstLine="444"/>
        <w:jc w:val="center"/>
        <w:spacing w:line="440" w:lineRule="exact"/>
        <w:tabs>
          <w:tab w:val="left" w:pos="4860" w:leader="none"/>
        </w:tabs>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日  期：</w:t>
      </w:r>
      <w:r/>
    </w:p>
    <w:p>
      <w:pPr>
        <w:jc w:val="left"/>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4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4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4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74"/>
      <w:r/>
      <w:r/>
    </w:p>
    <w:sectPr>
      <w:footerReference w:type="first" r:id="rId16"/>
      <w:footnotePr/>
      <w:endnotePr/>
      <w:type w:val="nextPage"/>
      <w:pgSz w:w="11906" w:h="16838" w:orient="portrait"/>
      <w:pgMar w:top="1440" w:right="1083" w:bottom="1440" w:left="1083"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rPr>
        <w:rFonts w:hint="default" w:eastAsia="宋体"/>
        <w:u w:val="single"/>
        <w:lang w:val="en-US" w:eastAsia="zh-CN"/>
      </w:rPr>
      <w:pBdr>
        <w:bottom w:val="none" w:color="000000" w:sz="0" w:space="0"/>
      </w:pBdr>
    </w:pPr>
    <w:r>
      <w:rPr>
        <w:rFonts w:hint="eastAsia"/>
        <w:u w:val="single"/>
        <w:lang w:val="en-US" w:eastAsia="zh-CN"/>
      </w:rPr>
      <w:t xml:space="preserve">政府采购文件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Fonts w:hint="default" w:eastAsia="宋体"/>
        <w:sz w:val="18"/>
        <w:szCs w:val="18"/>
        <w:u w:val="single"/>
        <w:lang w:val="en-US" w:eastAsia="zh-CN"/>
      </w:rPr>
    </w:pPr>
    <w:r>
      <w:rPr>
        <w:rFonts w:hint="eastAsia"/>
        <w:sz w:val="18"/>
        <w:szCs w:val="18"/>
        <w:u w:val="single"/>
        <w:lang w:val="en-US" w:eastAsia="zh-CN"/>
      </w:rPr>
      <w:t xml:space="preserve">政府采购文件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10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801"/>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0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3"/>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4"/>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05"/>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06"/>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08"/>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09"/>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4" w:customStyle="1">
    <w:name w:val="正文文本1"/>
    <w:basedOn w:val="762"/>
    <w:next w:val="775"/>
    <w:link w:val="979"/>
    <w:uiPriority w:val="0"/>
    <w:qFormat/>
    <w:rPr>
      <w:rFonts w:ascii="楷体_GB2312" w:hAnsi="Arial" w:eastAsia="楷体_GB2312" w:cs="Times New Roman"/>
      <w:sz w:val="28"/>
      <w:szCs w:val="28"/>
    </w:rPr>
  </w:style>
  <w:style w:type="paragraph" w:styleId="775" w:customStyle="1">
    <w:name w:val="正文缩进1"/>
    <w:basedOn w:val="762"/>
    <w:next w:val="762"/>
    <w:uiPriority w:val="0"/>
    <w:unhideWhenUsed/>
    <w:qFormat/>
    <w:pPr>
      <w:ind w:firstLine="420"/>
    </w:pPr>
    <w:rPr>
      <w:sz w:val="21"/>
      <w:szCs w:val="21"/>
    </w:rPr>
  </w:style>
  <w:style w:type="paragraph" w:styleId="776">
    <w:name w:val="toc 7"/>
    <w:basedOn w:val="762"/>
    <w:next w:val="762"/>
    <w:uiPriority w:val="39"/>
    <w:unhideWhenUsed/>
    <w:qFormat/>
    <w:pPr>
      <w:ind w:left="1701" w:right="0" w:firstLine="0"/>
      <w:spacing w:after="57"/>
    </w:pPr>
  </w:style>
  <w:style w:type="paragraph" w:styleId="777">
    <w:name w:val="Normal Indent"/>
    <w:basedOn w:val="762"/>
    <w:next w:val="762"/>
    <w:uiPriority w:val="0"/>
    <w:qFormat/>
    <w:pPr>
      <w:ind w:left="420" w:firstLine="4772"/>
    </w:pPr>
    <w:rPr>
      <w:lang w:val="zh-CN"/>
    </w:rPr>
  </w:style>
  <w:style w:type="paragraph" w:styleId="778">
    <w:name w:val="Caption"/>
    <w:basedOn w:val="762"/>
    <w:next w:val="762"/>
    <w:uiPriority w:val="35"/>
    <w:semiHidden/>
    <w:unhideWhenUsed/>
    <w:qFormat/>
    <w:pPr>
      <w:spacing w:line="276" w:lineRule="auto"/>
    </w:pPr>
    <w:rPr>
      <w:b/>
      <w:bCs/>
      <w:color w:val="4f81bd" w:themeColor="accent1"/>
      <w:sz w:val="18"/>
      <w:szCs w:val="18"/>
    </w:rPr>
  </w:style>
  <w:style w:type="paragraph" w:styleId="779">
    <w:name w:val="annotation text"/>
    <w:basedOn w:val="762"/>
    <w:uiPriority w:val="99"/>
    <w:semiHidden/>
    <w:unhideWhenUsed/>
    <w:qFormat/>
    <w:pPr>
      <w:jc w:val="left"/>
    </w:pPr>
  </w:style>
  <w:style w:type="paragraph" w:styleId="780">
    <w:name w:val="Body Text"/>
    <w:basedOn w:val="762"/>
    <w:uiPriority w:val="99"/>
    <w:semiHidden/>
    <w:unhideWhenUsed/>
    <w:qFormat/>
    <w:pPr>
      <w:ind w:left="0" w:firstLine="2560"/>
      <w:jc w:val="both"/>
    </w:pPr>
    <w:rPr>
      <w:rFonts w:hint="default" w:ascii="Calibri" w:hAnsi="Calibri" w:eastAsia="宋体" w:cs="Times New Roman"/>
      <w:lang w:val="en-US" w:eastAsia="zh-CN" w:bidi="ar"/>
    </w:rPr>
  </w:style>
  <w:style w:type="paragraph" w:styleId="781">
    <w:name w:val="toc 5"/>
    <w:basedOn w:val="762"/>
    <w:next w:val="762"/>
    <w:uiPriority w:val="39"/>
    <w:unhideWhenUsed/>
    <w:qFormat/>
    <w:pPr>
      <w:ind w:left="1134" w:right="0" w:firstLine="0"/>
      <w:spacing w:after="57"/>
    </w:pPr>
  </w:style>
  <w:style w:type="paragraph" w:styleId="782">
    <w:name w:val="toc 3"/>
    <w:basedOn w:val="762"/>
    <w:next w:val="762"/>
    <w:uiPriority w:val="39"/>
    <w:unhideWhenUsed/>
    <w:qFormat/>
    <w:pPr>
      <w:ind w:left="567" w:right="0" w:firstLine="0"/>
      <w:spacing w:after="57"/>
    </w:pPr>
  </w:style>
  <w:style w:type="paragraph" w:styleId="783">
    <w:name w:val="toc 8"/>
    <w:basedOn w:val="762"/>
    <w:next w:val="762"/>
    <w:uiPriority w:val="39"/>
    <w:unhideWhenUsed/>
    <w:qFormat/>
    <w:pPr>
      <w:ind w:left="1984" w:right="0" w:firstLine="0"/>
      <w:spacing w:after="57"/>
    </w:pPr>
  </w:style>
  <w:style w:type="paragraph" w:styleId="784">
    <w:name w:val="endnote text"/>
    <w:basedOn w:val="762"/>
    <w:link w:val="947"/>
    <w:uiPriority w:val="99"/>
    <w:semiHidden/>
    <w:unhideWhenUsed/>
    <w:qFormat/>
    <w:pPr>
      <w:spacing w:after="0" w:line="240" w:lineRule="auto"/>
    </w:pPr>
    <w:rPr>
      <w:sz w:val="20"/>
    </w:rPr>
  </w:style>
  <w:style w:type="paragraph" w:styleId="785">
    <w:name w:val="Footer"/>
    <w:basedOn w:val="762"/>
    <w:link w:val="820"/>
    <w:uiPriority w:val="99"/>
    <w:unhideWhenUsed/>
    <w:qFormat/>
    <w:pPr>
      <w:spacing w:after="0" w:line="240" w:lineRule="auto"/>
      <w:tabs>
        <w:tab w:val="center" w:pos="7143" w:leader="none"/>
        <w:tab w:val="right" w:pos="14287" w:leader="none"/>
      </w:tabs>
    </w:pPr>
  </w:style>
  <w:style w:type="paragraph" w:styleId="786">
    <w:name w:val="Header"/>
    <w:basedOn w:val="762"/>
    <w:link w:val="818"/>
    <w:uiPriority w:val="99"/>
    <w:unhideWhenUsed/>
    <w:qFormat/>
    <w:pPr>
      <w:spacing w:after="0" w:line="240" w:lineRule="auto"/>
      <w:tabs>
        <w:tab w:val="center" w:pos="7143" w:leader="none"/>
        <w:tab w:val="right" w:pos="14287" w:leader="none"/>
      </w:tabs>
    </w:pPr>
  </w:style>
  <w:style w:type="paragraph" w:styleId="787">
    <w:name w:val="toc 1"/>
    <w:basedOn w:val="762"/>
    <w:next w:val="762"/>
    <w:uiPriority w:val="39"/>
    <w:unhideWhenUsed/>
    <w:qFormat/>
    <w:pPr>
      <w:ind w:left="0" w:right="0" w:firstLine="0"/>
      <w:spacing w:after="57"/>
    </w:pPr>
  </w:style>
  <w:style w:type="paragraph" w:styleId="788">
    <w:name w:val="toc 4"/>
    <w:basedOn w:val="762"/>
    <w:next w:val="762"/>
    <w:uiPriority w:val="39"/>
    <w:unhideWhenUsed/>
    <w:qFormat/>
    <w:pPr>
      <w:ind w:left="850" w:right="0" w:firstLine="0"/>
      <w:spacing w:after="57"/>
    </w:pPr>
  </w:style>
  <w:style w:type="paragraph" w:styleId="789">
    <w:name w:val="Subtitle"/>
    <w:basedOn w:val="762"/>
    <w:next w:val="762"/>
    <w:link w:val="813"/>
    <w:uiPriority w:val="11"/>
    <w:qFormat/>
    <w:pPr>
      <w:spacing w:before="200" w:after="200"/>
    </w:pPr>
    <w:rPr>
      <w:sz w:val="24"/>
      <w:szCs w:val="24"/>
    </w:rPr>
  </w:style>
  <w:style w:type="paragraph" w:styleId="790">
    <w:name w:val="footnote text"/>
    <w:basedOn w:val="762"/>
    <w:link w:val="946"/>
    <w:uiPriority w:val="99"/>
    <w:semiHidden/>
    <w:unhideWhenUsed/>
    <w:qFormat/>
    <w:pPr>
      <w:spacing w:after="40" w:line="240" w:lineRule="auto"/>
    </w:pPr>
    <w:rPr>
      <w:sz w:val="18"/>
    </w:rPr>
  </w:style>
  <w:style w:type="paragraph" w:styleId="791">
    <w:name w:val="toc 6"/>
    <w:basedOn w:val="762"/>
    <w:next w:val="762"/>
    <w:uiPriority w:val="39"/>
    <w:unhideWhenUsed/>
    <w:qFormat/>
    <w:pPr>
      <w:ind w:left="1417" w:right="0" w:firstLine="0"/>
      <w:spacing w:after="57"/>
    </w:pPr>
  </w:style>
  <w:style w:type="paragraph" w:styleId="792">
    <w:name w:val="table of figures"/>
    <w:basedOn w:val="762"/>
    <w:next w:val="762"/>
    <w:uiPriority w:val="99"/>
    <w:unhideWhenUsed/>
    <w:qFormat/>
    <w:pPr>
      <w:spacing w:after="0" w:afterAutospacing="0"/>
    </w:pPr>
  </w:style>
  <w:style w:type="paragraph" w:styleId="793">
    <w:name w:val="toc 2"/>
    <w:basedOn w:val="762"/>
    <w:next w:val="762"/>
    <w:uiPriority w:val="39"/>
    <w:unhideWhenUsed/>
    <w:qFormat/>
    <w:pPr>
      <w:ind w:left="283" w:right="0" w:firstLine="0"/>
      <w:spacing w:after="57"/>
    </w:pPr>
  </w:style>
  <w:style w:type="paragraph" w:styleId="794">
    <w:name w:val="toc 9"/>
    <w:basedOn w:val="762"/>
    <w:next w:val="762"/>
    <w:uiPriority w:val="39"/>
    <w:unhideWhenUsed/>
    <w:qFormat/>
    <w:pPr>
      <w:ind w:left="2268" w:right="0" w:firstLine="0"/>
      <w:spacing w:after="57"/>
    </w:pPr>
  </w:style>
  <w:style w:type="paragraph" w:styleId="795">
    <w:name w:val="Normal (Web)"/>
    <w:basedOn w:val="762"/>
    <w:uiPriority w:val="99"/>
    <w:semiHidden/>
    <w:unhideWhenUsed/>
    <w:qFormat/>
    <w:rPr>
      <w:sz w:val="24"/>
    </w:rPr>
  </w:style>
  <w:style w:type="paragraph" w:styleId="796">
    <w:name w:val="Title"/>
    <w:basedOn w:val="762"/>
    <w:next w:val="762"/>
    <w:link w:val="812"/>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rPr>
  </w:style>
  <w:style w:type="character" w:styleId="800">
    <w:name w:val="footnote reference"/>
    <w:uiPriority w:val="99"/>
    <w:unhideWhenUsed/>
    <w:qFormat/>
    <w:rPr>
      <w:vertAlign w:val="superscript"/>
    </w:rPr>
  </w:style>
  <w:style w:type="character" w:styleId="801" w:customStyle="1">
    <w:name w:val="Heading 1 Char"/>
    <w:link w:val="763"/>
    <w:uiPriority w:val="9"/>
    <w:qFormat/>
    <w:rPr>
      <w:rFonts w:ascii="Arial" w:hAnsi="Arial" w:eastAsia="Arial" w:cs="Arial"/>
      <w:sz w:val="40"/>
      <w:szCs w:val="40"/>
    </w:rPr>
  </w:style>
  <w:style w:type="character" w:styleId="802" w:customStyle="1">
    <w:name w:val="Heading 2 Char"/>
    <w:link w:val="764"/>
    <w:uiPriority w:val="9"/>
    <w:qFormat/>
    <w:rPr>
      <w:rFonts w:ascii="Arial" w:hAnsi="Arial" w:eastAsia="Arial" w:cs="Arial"/>
      <w:sz w:val="34"/>
    </w:rPr>
  </w:style>
  <w:style w:type="character" w:styleId="803" w:customStyle="1">
    <w:name w:val="Heading 3 Char"/>
    <w:link w:val="765"/>
    <w:uiPriority w:val="9"/>
    <w:qFormat/>
    <w:rPr>
      <w:rFonts w:ascii="Arial" w:hAnsi="Arial" w:eastAsia="Arial" w:cs="Arial"/>
      <w:sz w:val="30"/>
      <w:szCs w:val="30"/>
    </w:rPr>
  </w:style>
  <w:style w:type="character" w:styleId="804" w:customStyle="1">
    <w:name w:val="Heading 4 Char"/>
    <w:link w:val="766"/>
    <w:uiPriority w:val="9"/>
    <w:qFormat/>
    <w:rPr>
      <w:rFonts w:ascii="Arial" w:hAnsi="Arial" w:eastAsia="Arial" w:cs="Arial"/>
      <w:b/>
      <w:bCs/>
      <w:sz w:val="26"/>
      <w:szCs w:val="26"/>
    </w:rPr>
  </w:style>
  <w:style w:type="character" w:styleId="805" w:customStyle="1">
    <w:name w:val="Heading 5 Char"/>
    <w:link w:val="767"/>
    <w:uiPriority w:val="9"/>
    <w:qFormat/>
    <w:rPr>
      <w:rFonts w:ascii="Arial" w:hAnsi="Arial" w:eastAsia="Arial" w:cs="Arial"/>
      <w:b/>
      <w:bCs/>
      <w:sz w:val="24"/>
      <w:szCs w:val="24"/>
    </w:rPr>
  </w:style>
  <w:style w:type="character" w:styleId="806" w:customStyle="1">
    <w:name w:val="Heading 6 Char"/>
    <w:link w:val="768"/>
    <w:uiPriority w:val="9"/>
    <w:qFormat/>
    <w:rPr>
      <w:rFonts w:ascii="Arial" w:hAnsi="Arial" w:eastAsia="Arial" w:cs="Arial"/>
      <w:b/>
      <w:bCs/>
      <w:sz w:val="22"/>
      <w:szCs w:val="22"/>
    </w:rPr>
  </w:style>
  <w:style w:type="character" w:styleId="807" w:customStyle="1">
    <w:name w:val="Heading 7 Char"/>
    <w:link w:val="769"/>
    <w:uiPriority w:val="9"/>
    <w:qFormat/>
    <w:rPr>
      <w:rFonts w:ascii="Arial" w:hAnsi="Arial" w:eastAsia="Arial" w:cs="Arial"/>
      <w:b/>
      <w:bCs/>
      <w:i/>
      <w:iCs/>
      <w:sz w:val="22"/>
      <w:szCs w:val="22"/>
    </w:rPr>
  </w:style>
  <w:style w:type="character" w:styleId="808" w:customStyle="1">
    <w:name w:val="Heading 8 Char"/>
    <w:link w:val="770"/>
    <w:uiPriority w:val="9"/>
    <w:qFormat/>
    <w:rPr>
      <w:rFonts w:ascii="Arial" w:hAnsi="Arial" w:eastAsia="Arial" w:cs="Arial"/>
      <w:i/>
      <w:iCs/>
      <w:sz w:val="22"/>
      <w:szCs w:val="22"/>
    </w:rPr>
  </w:style>
  <w:style w:type="character" w:styleId="809" w:customStyle="1">
    <w:name w:val="Heading 9 Char"/>
    <w:link w:val="771"/>
    <w:uiPriority w:val="9"/>
    <w:qFormat/>
    <w:rPr>
      <w:rFonts w:ascii="Arial" w:hAnsi="Arial" w:eastAsia="Arial" w:cs="Arial"/>
      <w:i/>
      <w:iCs/>
      <w:sz w:val="21"/>
      <w:szCs w:val="21"/>
    </w:rPr>
  </w:style>
  <w:style w:type="paragraph" w:styleId="810">
    <w:name w:val="List Paragraph"/>
    <w:basedOn w:val="762"/>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character" w:styleId="812" w:customStyle="1">
    <w:name w:val="Title Char"/>
    <w:link w:val="796"/>
    <w:uiPriority w:val="10"/>
    <w:qFormat/>
    <w:rPr>
      <w:sz w:val="48"/>
      <w:szCs w:val="48"/>
    </w:rPr>
  </w:style>
  <w:style w:type="character" w:styleId="813" w:customStyle="1">
    <w:name w:val="Subtitle Char"/>
    <w:link w:val="789"/>
    <w:uiPriority w:val="11"/>
    <w:qFormat/>
    <w:rPr>
      <w:sz w:val="24"/>
      <w:szCs w:val="24"/>
    </w:rPr>
  </w:style>
  <w:style w:type="paragraph" w:styleId="814">
    <w:name w:val="Quote"/>
    <w:basedOn w:val="762"/>
    <w:next w:val="762"/>
    <w:link w:val="815"/>
    <w:uiPriority w:val="29"/>
    <w:qFormat/>
    <w:pPr>
      <w:ind w:left="720" w:right="720"/>
    </w:pPr>
    <w:rPr>
      <w:i/>
    </w:rPr>
  </w:style>
  <w:style w:type="character" w:styleId="815" w:customStyle="1">
    <w:name w:val="Quote Char"/>
    <w:link w:val="814"/>
    <w:uiPriority w:val="29"/>
    <w:qFormat/>
    <w:rPr>
      <w:i/>
    </w:rPr>
  </w:style>
  <w:style w:type="paragraph" w:styleId="816">
    <w:name w:val="Intense Quote"/>
    <w:basedOn w:val="762"/>
    <w:next w:val="762"/>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link w:val="786"/>
    <w:uiPriority w:val="99"/>
    <w:qFormat/>
  </w:style>
  <w:style w:type="character" w:styleId="819" w:customStyle="1">
    <w:name w:val="Footer Char"/>
    <w:link w:val="785"/>
    <w:uiPriority w:val="99"/>
    <w:qFormat/>
  </w:style>
  <w:style w:type="character" w:styleId="820" w:customStyle="1">
    <w:name w:val="Caption Char"/>
    <w:link w:val="785"/>
    <w:uiPriority w:val="99"/>
    <w:qFormat/>
  </w:style>
  <w:style w:type="table" w:styleId="8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Footnote Text Char"/>
    <w:link w:val="790"/>
    <w:uiPriority w:val="99"/>
    <w:rPr>
      <w:sz w:val="18"/>
    </w:rPr>
  </w:style>
  <w:style w:type="character" w:styleId="947" w:customStyle="1">
    <w:name w:val="Endnote Text Char"/>
    <w:link w:val="784"/>
    <w:uiPriority w:val="99"/>
    <w:rPr>
      <w:sz w:val="20"/>
    </w:rPr>
  </w:style>
  <w:style w:type="paragraph" w:styleId="948" w:customStyle="1">
    <w:name w:val="TOC Heading"/>
    <w:uiPriority w:val="39"/>
    <w:unhideWhenUsed/>
    <w:rPr>
      <w:rFonts w:hint="default" w:ascii="Times New Roman" w:hAnsi="Times New Roman" w:eastAsia="宋体" w:cs="Times New Roman"/>
    </w:rPr>
  </w:style>
  <w:style w:type="paragraph" w:styleId="949" w:customStyle="1">
    <w:name w:val="标题 11"/>
    <w:basedOn w:val="762"/>
    <w:next w:val="762"/>
    <w:link w:val="961"/>
    <w:uiPriority w:val="0"/>
    <w:qFormat/>
    <w:pPr>
      <w:jc w:val="center"/>
      <w:keepNext/>
      <w:outlineLvl w:val="0"/>
    </w:pPr>
    <w:rPr>
      <w:rFonts w:ascii="楷体_GB2312" w:hAnsi="Times New Roman" w:eastAsia="楷体_GB2312" w:cs="Times New Roman"/>
      <w:sz w:val="28"/>
      <w:szCs w:val="28"/>
    </w:rPr>
  </w:style>
  <w:style w:type="paragraph" w:styleId="950" w:customStyle="1">
    <w:name w:val="标题 21"/>
    <w:basedOn w:val="762"/>
    <w:next w:val="951"/>
    <w:link w:val="9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1" w:customStyle="1">
    <w:name w:val="正文缩进11"/>
    <w:basedOn w:val="762"/>
    <w:next w:val="762"/>
    <w:link w:val="963"/>
    <w:uiPriority w:val="0"/>
    <w:pPr>
      <w:ind w:firstLine="420"/>
    </w:pPr>
    <w:rPr>
      <w:szCs w:val="21"/>
    </w:rPr>
  </w:style>
  <w:style w:type="paragraph" w:styleId="952" w:customStyle="1">
    <w:name w:val="标题 31"/>
    <w:basedOn w:val="762"/>
    <w:next w:val="762"/>
    <w:link w:val="9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customStyle="1">
    <w:name w:val="标题 411"/>
    <w:basedOn w:val="762"/>
    <w:next w:val="951"/>
    <w:link w:val="965"/>
    <w:uiPriority w:val="0"/>
    <w:qFormat/>
    <w:pPr>
      <w:keepLines/>
      <w:keepNext/>
      <w:spacing w:before="280" w:after="290" w:line="376" w:lineRule="auto"/>
      <w:outlineLvl w:val="3"/>
    </w:pPr>
    <w:rPr>
      <w:rFonts w:ascii="Arial" w:hAnsi="Arial" w:eastAsia="黑体" w:cs="Arial"/>
      <w:b/>
      <w:bCs/>
      <w:sz w:val="28"/>
      <w:szCs w:val="28"/>
    </w:rPr>
  </w:style>
  <w:style w:type="paragraph" w:styleId="954" w:customStyle="1">
    <w:name w:val="标题 51"/>
    <w:basedOn w:val="762"/>
    <w:next w:val="951"/>
    <w:link w:val="966"/>
    <w:uiPriority w:val="0"/>
    <w:qFormat/>
    <w:pPr>
      <w:keepNext/>
      <w:outlineLvl w:val="4"/>
    </w:pPr>
    <w:rPr>
      <w:rFonts w:ascii="宋体" w:hAnsi="Times New Roman" w:eastAsia="宋体" w:cs="Times New Roman"/>
      <w:color w:val="000000"/>
      <w:sz w:val="28"/>
      <w:szCs w:val="28"/>
    </w:rPr>
  </w:style>
  <w:style w:type="paragraph" w:styleId="955" w:customStyle="1">
    <w:name w:val="标题 61"/>
    <w:basedOn w:val="762"/>
    <w:next w:val="762"/>
    <w:link w:val="96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customStyle="1">
    <w:name w:val="标题 71"/>
    <w:basedOn w:val="762"/>
    <w:next w:val="762"/>
    <w:link w:val="96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customStyle="1">
    <w:name w:val="标题 81"/>
    <w:basedOn w:val="762"/>
    <w:next w:val="762"/>
    <w:link w:val="96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customStyle="1">
    <w:name w:val="标题 91"/>
    <w:basedOn w:val="762"/>
    <w:next w:val="762"/>
    <w:link w:val="97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customStyle="1">
    <w:name w:val="默认段落字体1"/>
    <w:link w:val="762"/>
    <w:uiPriority w:val="1"/>
    <w:unhideWhenUsed/>
  </w:style>
  <w:style w:type="table" w:styleId="960" w:customStyle="1">
    <w:name w:val="普通表格1"/>
    <w:uiPriority w:val="99"/>
    <w:unhideWhenUsed/>
    <w:tblPr/>
  </w:style>
  <w:style w:type="character" w:styleId="961" w:customStyle="1">
    <w:name w:val="标题 1 Char"/>
    <w:link w:val="949"/>
    <w:uiPriority w:val="0"/>
    <w:rPr>
      <w:rFonts w:ascii="楷体_GB2312" w:hAnsi="Times New Roman" w:eastAsia="楷体_GB2312" w:cs="Times New Roman"/>
      <w:sz w:val="28"/>
      <w:szCs w:val="28"/>
    </w:rPr>
  </w:style>
  <w:style w:type="character" w:styleId="962" w:customStyle="1">
    <w:name w:val="标题 2 Char"/>
    <w:link w:val="950"/>
    <w:uiPriority w:val="0"/>
    <w:rPr>
      <w:rFonts w:ascii="Arial" w:hAnsi="Arial" w:eastAsia="幼圆" w:cs="Arial"/>
      <w:b/>
      <w:bCs/>
      <w:sz w:val="44"/>
      <w:szCs w:val="44"/>
    </w:rPr>
  </w:style>
  <w:style w:type="character" w:styleId="963" w:customStyle="1">
    <w:name w:val="正文缩进 Char"/>
    <w:link w:val="951"/>
    <w:uiPriority w:val="0"/>
    <w:rPr>
      <w:szCs w:val="21"/>
    </w:rPr>
  </w:style>
  <w:style w:type="character" w:styleId="964" w:customStyle="1">
    <w:name w:val="标题 3 Char"/>
    <w:link w:val="952"/>
    <w:uiPriority w:val="0"/>
    <w:rPr>
      <w:rFonts w:ascii="Times New Roman" w:hAnsi="Times New Roman" w:eastAsia="宋体" w:cs="Times New Roman"/>
      <w:b/>
      <w:bCs/>
      <w:sz w:val="32"/>
      <w:szCs w:val="32"/>
    </w:rPr>
  </w:style>
  <w:style w:type="character" w:styleId="965" w:customStyle="1">
    <w:name w:val="标题 4 Char"/>
    <w:link w:val="953"/>
    <w:uiPriority w:val="0"/>
    <w:rPr>
      <w:rFonts w:ascii="Arial" w:hAnsi="Arial" w:eastAsia="黑体" w:cs="Arial"/>
      <w:b/>
      <w:bCs/>
      <w:sz w:val="28"/>
      <w:szCs w:val="28"/>
    </w:rPr>
  </w:style>
  <w:style w:type="character" w:styleId="966" w:customStyle="1">
    <w:name w:val="标题 5 Char"/>
    <w:link w:val="954"/>
    <w:uiPriority w:val="0"/>
    <w:rPr>
      <w:rFonts w:ascii="宋体" w:hAnsi="Times New Roman" w:eastAsia="宋体" w:cs="Times New Roman"/>
      <w:color w:val="000000"/>
      <w:sz w:val="28"/>
      <w:szCs w:val="28"/>
    </w:rPr>
  </w:style>
  <w:style w:type="character" w:styleId="967" w:customStyle="1">
    <w:name w:val="标题 6 Char"/>
    <w:link w:val="955"/>
    <w:uiPriority w:val="0"/>
    <w:rPr>
      <w:rFonts w:ascii="Arial" w:hAnsi="Arial" w:eastAsia="黑体" w:cs="Times New Roman"/>
      <w:b/>
      <w:bCs/>
      <w:sz w:val="24"/>
      <w:szCs w:val="24"/>
    </w:rPr>
  </w:style>
  <w:style w:type="character" w:styleId="968" w:customStyle="1">
    <w:name w:val="标题 7 Char"/>
    <w:link w:val="956"/>
    <w:uiPriority w:val="0"/>
    <w:rPr>
      <w:rFonts w:ascii="Times New Roman" w:hAnsi="Times New Roman" w:eastAsia="宋体" w:cs="Times New Roman"/>
      <w:b/>
      <w:bCs/>
      <w:sz w:val="24"/>
      <w:szCs w:val="24"/>
    </w:rPr>
  </w:style>
  <w:style w:type="character" w:styleId="969" w:customStyle="1">
    <w:name w:val="标题 8 Char"/>
    <w:link w:val="957"/>
    <w:uiPriority w:val="0"/>
    <w:rPr>
      <w:rFonts w:ascii="Arial" w:hAnsi="Arial" w:eastAsia="黑体" w:cs="Times New Roman"/>
      <w:sz w:val="24"/>
      <w:szCs w:val="24"/>
    </w:rPr>
  </w:style>
  <w:style w:type="character" w:styleId="970" w:customStyle="1">
    <w:name w:val="标题 9 Char"/>
    <w:link w:val="958"/>
    <w:uiPriority w:val="0"/>
    <w:rPr>
      <w:rFonts w:ascii="Arial" w:hAnsi="Arial" w:eastAsia="黑体" w:cs="Times New Roman"/>
      <w:szCs w:val="21"/>
    </w:rPr>
  </w:style>
  <w:style w:type="paragraph" w:styleId="971" w:customStyle="1">
    <w:name w:val="列表 31"/>
    <w:basedOn w:val="762"/>
    <w:uiPriority w:val="0"/>
    <w:pPr>
      <w:ind w:left="100" w:hanging="200"/>
    </w:pPr>
    <w:rPr>
      <w:rFonts w:ascii="Times New Roman" w:hAnsi="Times New Roman" w:eastAsia="宋体" w:cs="Times New Roman"/>
      <w:szCs w:val="21"/>
    </w:rPr>
  </w:style>
  <w:style w:type="paragraph" w:styleId="972" w:customStyle="1">
    <w:name w:val="目录 71"/>
    <w:basedOn w:val="762"/>
    <w:next w:val="762"/>
    <w:uiPriority w:val="0"/>
    <w:semiHidden/>
    <w:pPr>
      <w:ind w:left="1260"/>
      <w:jc w:val="left"/>
    </w:pPr>
    <w:rPr>
      <w:rFonts w:ascii="Times New Roman" w:hAnsi="Times New Roman" w:eastAsia="宋体" w:cs="Times New Roman"/>
      <w:szCs w:val="21"/>
    </w:rPr>
  </w:style>
  <w:style w:type="paragraph" w:styleId="973" w:customStyle="1">
    <w:name w:val="文档结构图1"/>
    <w:basedOn w:val="762"/>
    <w:link w:val="974"/>
    <w:uiPriority w:val="0"/>
    <w:semiHidden/>
    <w:pPr>
      <w:shd w:val="clear" w:color="auto" w:fill="000080"/>
    </w:pPr>
    <w:rPr>
      <w:rFonts w:ascii="Times New Roman" w:hAnsi="Times New Roman" w:eastAsia="宋体" w:cs="Times New Roman"/>
      <w:szCs w:val="21"/>
    </w:rPr>
  </w:style>
  <w:style w:type="character" w:styleId="974" w:customStyle="1">
    <w:name w:val="文档结构图 Char"/>
    <w:link w:val="973"/>
    <w:uiPriority w:val="0"/>
    <w:semiHidden/>
    <w:rPr>
      <w:rFonts w:ascii="Times New Roman" w:hAnsi="Times New Roman" w:eastAsia="宋体" w:cs="Times New Roman"/>
      <w:szCs w:val="21"/>
      <w:shd w:val="clear" w:color="auto" w:fill="000080"/>
    </w:rPr>
  </w:style>
  <w:style w:type="paragraph" w:styleId="975" w:customStyle="1">
    <w:name w:val="批注文字1"/>
    <w:basedOn w:val="762"/>
    <w:link w:val="976"/>
    <w:uiPriority w:val="0"/>
    <w:unhideWhenUsed/>
    <w:pPr>
      <w:jc w:val="left"/>
    </w:pPr>
  </w:style>
  <w:style w:type="character" w:styleId="976" w:customStyle="1">
    <w:name w:val="批注文字 Char"/>
    <w:basedOn w:val="959"/>
    <w:link w:val="975"/>
    <w:uiPriority w:val="99"/>
    <w:semiHidden/>
  </w:style>
  <w:style w:type="paragraph" w:styleId="977" w:customStyle="1">
    <w:name w:val="正文文本 31"/>
    <w:basedOn w:val="762"/>
    <w:link w:val="978"/>
    <w:uiPriority w:val="0"/>
    <w:rPr>
      <w:rFonts w:ascii="仿宋_GB2312" w:hAnsi="Arial" w:eastAsia="仿宋_GB2312" w:cs="Times New Roman"/>
      <w:sz w:val="32"/>
      <w:szCs w:val="32"/>
    </w:rPr>
  </w:style>
  <w:style w:type="character" w:styleId="978" w:customStyle="1">
    <w:name w:val="正文文本 3 Char"/>
    <w:link w:val="977"/>
    <w:uiPriority w:val="0"/>
    <w:rPr>
      <w:rFonts w:ascii="仿宋_GB2312" w:hAnsi="Arial" w:eastAsia="仿宋_GB2312" w:cs="Times New Roman"/>
      <w:sz w:val="32"/>
      <w:szCs w:val="32"/>
    </w:rPr>
  </w:style>
  <w:style w:type="character" w:styleId="979" w:customStyle="1">
    <w:name w:val="正文文本 Char"/>
    <w:link w:val="774"/>
    <w:uiPriority w:val="0"/>
    <w:rPr>
      <w:rFonts w:ascii="楷体_GB2312" w:hAnsi="Arial" w:eastAsia="楷体_GB2312" w:cs="Times New Roman"/>
      <w:sz w:val="28"/>
      <w:szCs w:val="28"/>
    </w:rPr>
  </w:style>
  <w:style w:type="paragraph" w:styleId="980" w:customStyle="1">
    <w:name w:val="正文文本缩进1"/>
    <w:basedOn w:val="762"/>
    <w:next w:val="981"/>
    <w:link w:val="982"/>
    <w:uiPriority w:val="0"/>
    <w:unhideWhenUsed/>
    <w:pPr>
      <w:ind w:left="420"/>
      <w:spacing w:after="120"/>
    </w:pPr>
  </w:style>
  <w:style w:type="paragraph" w:styleId="981" w:customStyle="1">
    <w:name w:val="寄信人地址1"/>
    <w:basedOn w:val="762"/>
    <w:uiPriority w:val="0"/>
    <w:qFormat/>
    <w:rPr>
      <w:rFonts w:ascii="Arial" w:hAnsi="Arial" w:eastAsia="宋体"/>
      <w:sz w:val="21"/>
      <w:szCs w:val="24"/>
    </w:rPr>
  </w:style>
  <w:style w:type="character" w:styleId="982" w:customStyle="1">
    <w:name w:val="正文文本缩进 Char"/>
    <w:basedOn w:val="959"/>
    <w:link w:val="980"/>
    <w:uiPriority w:val="99"/>
    <w:semiHidden/>
  </w:style>
  <w:style w:type="paragraph" w:styleId="983" w:customStyle="1">
    <w:name w:val="列表 21"/>
    <w:basedOn w:val="762"/>
    <w:uiPriority w:val="0"/>
    <w:pPr>
      <w:ind w:left="100" w:hanging="200"/>
    </w:pPr>
    <w:rPr>
      <w:rFonts w:ascii="Times New Roman" w:hAnsi="Times New Roman" w:eastAsia="宋体" w:cs="Times New Roman"/>
      <w:szCs w:val="21"/>
    </w:rPr>
  </w:style>
  <w:style w:type="paragraph" w:styleId="984" w:customStyle="1">
    <w:name w:val="目录 51"/>
    <w:basedOn w:val="762"/>
    <w:next w:val="762"/>
    <w:uiPriority w:val="0"/>
    <w:semiHidden/>
    <w:pPr>
      <w:ind w:left="840"/>
      <w:jc w:val="left"/>
    </w:pPr>
    <w:rPr>
      <w:rFonts w:ascii="Times New Roman" w:hAnsi="Times New Roman" w:eastAsia="宋体" w:cs="Times New Roman"/>
      <w:szCs w:val="21"/>
    </w:rPr>
  </w:style>
  <w:style w:type="paragraph" w:styleId="985" w:customStyle="1">
    <w:name w:val="目录 31"/>
    <w:basedOn w:val="762"/>
    <w:next w:val="762"/>
    <w:uiPriority w:val="0"/>
    <w:semiHidden/>
    <w:pPr>
      <w:ind w:left="420"/>
      <w:jc w:val="left"/>
    </w:pPr>
    <w:rPr>
      <w:rFonts w:ascii="Times New Roman" w:hAnsi="Times New Roman" w:eastAsia="宋体" w:cs="Times New Roman"/>
      <w:i/>
      <w:iCs/>
      <w:szCs w:val="24"/>
    </w:rPr>
  </w:style>
  <w:style w:type="paragraph" w:styleId="986" w:customStyle="1">
    <w:name w:val="纯文本1"/>
    <w:basedOn w:val="762"/>
    <w:link w:val="987"/>
    <w:uiPriority w:val="0"/>
    <w:rPr>
      <w:rFonts w:ascii="宋体" w:hAnsi="Courier New" w:eastAsia="宋体" w:cs="Courier New"/>
      <w:szCs w:val="21"/>
    </w:rPr>
  </w:style>
  <w:style w:type="character" w:styleId="987" w:customStyle="1">
    <w:name w:val="纯文本 Char"/>
    <w:link w:val="986"/>
    <w:uiPriority w:val="0"/>
    <w:rPr>
      <w:rFonts w:ascii="宋体" w:hAnsi="Courier New" w:eastAsia="宋体" w:cs="Courier New"/>
      <w:szCs w:val="21"/>
    </w:rPr>
  </w:style>
  <w:style w:type="paragraph" w:styleId="988" w:customStyle="1">
    <w:name w:val="目录 81"/>
    <w:basedOn w:val="762"/>
    <w:next w:val="762"/>
    <w:uiPriority w:val="0"/>
    <w:semiHidden/>
    <w:pPr>
      <w:ind w:left="1470"/>
      <w:jc w:val="left"/>
    </w:pPr>
    <w:rPr>
      <w:rFonts w:ascii="Times New Roman" w:hAnsi="Times New Roman" w:eastAsia="宋体" w:cs="Times New Roman"/>
      <w:szCs w:val="21"/>
    </w:rPr>
  </w:style>
  <w:style w:type="paragraph" w:styleId="989" w:customStyle="1">
    <w:name w:val="日期1"/>
    <w:basedOn w:val="762"/>
    <w:next w:val="762"/>
    <w:link w:val="990"/>
    <w:uiPriority w:val="0"/>
    <w:rPr>
      <w:rFonts w:ascii="Times New Roman" w:hAnsi="Times New Roman" w:eastAsia="宋体" w:cs="Times New Roman"/>
      <w:sz w:val="24"/>
      <w:szCs w:val="24"/>
    </w:rPr>
  </w:style>
  <w:style w:type="character" w:styleId="990" w:customStyle="1">
    <w:name w:val="日期 Char"/>
    <w:link w:val="989"/>
    <w:uiPriority w:val="0"/>
    <w:rPr>
      <w:rFonts w:ascii="Times New Roman" w:hAnsi="Times New Roman" w:eastAsia="宋体" w:cs="Times New Roman"/>
      <w:sz w:val="24"/>
      <w:szCs w:val="24"/>
    </w:rPr>
  </w:style>
  <w:style w:type="paragraph" w:styleId="991" w:customStyle="1">
    <w:name w:val="正文文本缩进 21"/>
    <w:basedOn w:val="762"/>
    <w:link w:val="992"/>
    <w:uiPriority w:val="0"/>
    <w:pPr>
      <w:ind w:left="630" w:firstLine="645"/>
    </w:pPr>
    <w:rPr>
      <w:rFonts w:ascii="Arial" w:hAnsi="Arial" w:eastAsia="仿宋_GB2312" w:cs="Arial"/>
      <w:sz w:val="32"/>
      <w:szCs w:val="32"/>
    </w:rPr>
  </w:style>
  <w:style w:type="character" w:styleId="992" w:customStyle="1">
    <w:name w:val="正文文本缩进 2 Char"/>
    <w:link w:val="991"/>
    <w:uiPriority w:val="0"/>
    <w:rPr>
      <w:rFonts w:ascii="Arial" w:hAnsi="Arial" w:eastAsia="仿宋_GB2312" w:cs="Arial"/>
      <w:sz w:val="32"/>
      <w:szCs w:val="32"/>
    </w:rPr>
  </w:style>
  <w:style w:type="paragraph" w:styleId="993" w:customStyle="1">
    <w:name w:val="批注框文本1"/>
    <w:basedOn w:val="762"/>
    <w:link w:val="994"/>
    <w:uiPriority w:val="0"/>
    <w:semiHidden/>
    <w:rPr>
      <w:rFonts w:ascii="Times New Roman" w:hAnsi="Times New Roman" w:eastAsia="宋体" w:cs="Times New Roman"/>
      <w:sz w:val="18"/>
      <w:szCs w:val="18"/>
    </w:rPr>
  </w:style>
  <w:style w:type="character" w:styleId="994" w:customStyle="1">
    <w:name w:val="批注框文本 Char"/>
    <w:link w:val="993"/>
    <w:uiPriority w:val="0"/>
    <w:semiHidden/>
    <w:rPr>
      <w:rFonts w:ascii="Times New Roman" w:hAnsi="Times New Roman" w:eastAsia="宋体" w:cs="Times New Roman"/>
      <w:sz w:val="18"/>
      <w:szCs w:val="18"/>
    </w:rPr>
  </w:style>
  <w:style w:type="paragraph" w:styleId="995" w:customStyle="1">
    <w:name w:val="页脚1"/>
    <w:basedOn w:val="762"/>
    <w:link w:val="996"/>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96" w:customStyle="1">
    <w:name w:val="页脚 Char"/>
    <w:link w:val="995"/>
    <w:uiPriority w:val="0"/>
    <w:rPr>
      <w:rFonts w:ascii="Times New Roman" w:hAnsi="Times New Roman" w:eastAsia="宋体" w:cs="Times New Roman"/>
      <w:sz w:val="18"/>
      <w:szCs w:val="18"/>
    </w:rPr>
  </w:style>
  <w:style w:type="paragraph" w:styleId="997" w:customStyle="1">
    <w:name w:val="页眉1"/>
    <w:basedOn w:val="762"/>
    <w:link w:val="998"/>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8" w:customStyle="1">
    <w:name w:val="页眉 Char"/>
    <w:link w:val="997"/>
    <w:uiPriority w:val="0"/>
    <w:rPr>
      <w:rFonts w:ascii="Times New Roman" w:hAnsi="Times New Roman" w:eastAsia="宋体" w:cs="Times New Roman"/>
      <w:sz w:val="18"/>
      <w:szCs w:val="18"/>
    </w:rPr>
  </w:style>
  <w:style w:type="paragraph" w:styleId="999" w:customStyle="1">
    <w:name w:val="目录 11"/>
    <w:basedOn w:val="762"/>
    <w:next w:val="762"/>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0" w:customStyle="1">
    <w:name w:val="目录 41"/>
    <w:basedOn w:val="762"/>
    <w:next w:val="762"/>
    <w:uiPriority w:val="0"/>
    <w:semiHidden/>
    <w:pPr>
      <w:ind w:left="630"/>
      <w:jc w:val="left"/>
    </w:pPr>
    <w:rPr>
      <w:rFonts w:ascii="Times New Roman" w:hAnsi="Times New Roman" w:eastAsia="宋体" w:cs="Times New Roman"/>
      <w:szCs w:val="21"/>
    </w:rPr>
  </w:style>
  <w:style w:type="paragraph" w:styleId="1001" w:customStyle="1">
    <w:name w:val="列表1"/>
    <w:basedOn w:val="762"/>
    <w:uiPriority w:val="0"/>
    <w:pPr>
      <w:ind w:left="200" w:hanging="200"/>
    </w:pPr>
    <w:rPr>
      <w:rFonts w:ascii="Times New Roman" w:hAnsi="Times New Roman" w:eastAsia="宋体" w:cs="Times New Roman"/>
      <w:szCs w:val="21"/>
    </w:rPr>
  </w:style>
  <w:style w:type="paragraph" w:styleId="1002" w:customStyle="1">
    <w:name w:val="目录 61"/>
    <w:basedOn w:val="762"/>
    <w:next w:val="762"/>
    <w:uiPriority w:val="0"/>
    <w:semiHidden/>
    <w:pPr>
      <w:ind w:left="1050"/>
      <w:jc w:val="left"/>
    </w:pPr>
    <w:rPr>
      <w:rFonts w:ascii="Times New Roman" w:hAnsi="Times New Roman" w:eastAsia="宋体" w:cs="Times New Roman"/>
      <w:szCs w:val="21"/>
    </w:rPr>
  </w:style>
  <w:style w:type="paragraph" w:styleId="1003" w:customStyle="1">
    <w:name w:val="正文文本缩进 31"/>
    <w:basedOn w:val="762"/>
    <w:link w:val="1004"/>
    <w:uiPriority w:val="0"/>
    <w:pPr>
      <w:ind w:left="645" w:firstLine="645"/>
    </w:pPr>
    <w:rPr>
      <w:rFonts w:ascii="Arial" w:hAnsi="Arial" w:eastAsia="仿宋_GB2312" w:cs="Arial"/>
      <w:color w:val="ffff00"/>
      <w:sz w:val="32"/>
      <w:szCs w:val="32"/>
    </w:rPr>
  </w:style>
  <w:style w:type="character" w:styleId="1004" w:customStyle="1">
    <w:name w:val="正文文本缩进 3 Char"/>
    <w:link w:val="1003"/>
    <w:uiPriority w:val="0"/>
    <w:rPr>
      <w:rFonts w:ascii="Arial" w:hAnsi="Arial" w:eastAsia="仿宋_GB2312" w:cs="Arial"/>
      <w:color w:val="ffff00"/>
      <w:sz w:val="32"/>
      <w:szCs w:val="32"/>
    </w:rPr>
  </w:style>
  <w:style w:type="paragraph" w:styleId="1005" w:customStyle="1">
    <w:name w:val="图表目录1"/>
    <w:basedOn w:val="762"/>
    <w:next w:val="762"/>
    <w:uiPriority w:val="0"/>
    <w:semiHidden/>
    <w:pPr>
      <w:ind w:left="840" w:hanging="420"/>
    </w:pPr>
    <w:rPr>
      <w:rFonts w:ascii="Times New Roman" w:hAnsi="Times New Roman" w:eastAsia="宋体" w:cs="Times New Roman"/>
      <w:szCs w:val="21"/>
    </w:rPr>
  </w:style>
  <w:style w:type="paragraph" w:styleId="1006" w:customStyle="1">
    <w:name w:val="目录 21"/>
    <w:basedOn w:val="762"/>
    <w:next w:val="762"/>
    <w:uiPriority w:val="0"/>
    <w:semiHidden/>
    <w:pPr>
      <w:ind w:left="210"/>
      <w:jc w:val="left"/>
    </w:pPr>
    <w:rPr>
      <w:rFonts w:ascii="Times New Roman" w:hAnsi="Times New Roman" w:eastAsia="宋体" w:cs="Times New Roman"/>
      <w:smallCaps/>
      <w:szCs w:val="24"/>
    </w:rPr>
  </w:style>
  <w:style w:type="paragraph" w:styleId="1007" w:customStyle="1">
    <w:name w:val="目录 91"/>
    <w:basedOn w:val="762"/>
    <w:next w:val="762"/>
    <w:uiPriority w:val="0"/>
    <w:semiHidden/>
    <w:pPr>
      <w:ind w:left="1680"/>
      <w:jc w:val="left"/>
    </w:pPr>
    <w:rPr>
      <w:rFonts w:ascii="Times New Roman" w:hAnsi="Times New Roman" w:eastAsia="宋体" w:cs="Times New Roman"/>
      <w:szCs w:val="21"/>
    </w:rPr>
  </w:style>
  <w:style w:type="paragraph" w:styleId="1008" w:customStyle="1">
    <w:name w:val="正文文本 21"/>
    <w:basedOn w:val="762"/>
    <w:link w:val="1009"/>
    <w:uiPriority w:val="0"/>
    <w:pPr>
      <w:jc w:val="center"/>
      <w:widowControl/>
    </w:pPr>
    <w:rPr>
      <w:rFonts w:ascii="楷体_GB2312" w:hAnsi="Times New Roman" w:eastAsia="楷体_GB2312" w:cs="Times New Roman"/>
      <w:sz w:val="28"/>
      <w:szCs w:val="28"/>
    </w:rPr>
  </w:style>
  <w:style w:type="character" w:styleId="1009" w:customStyle="1">
    <w:name w:val="正文文本 2 Char"/>
    <w:link w:val="1008"/>
    <w:uiPriority w:val="0"/>
    <w:rPr>
      <w:rFonts w:ascii="楷体_GB2312" w:hAnsi="Times New Roman" w:eastAsia="楷体_GB2312" w:cs="Times New Roman"/>
      <w:sz w:val="28"/>
      <w:szCs w:val="28"/>
    </w:rPr>
  </w:style>
  <w:style w:type="paragraph" w:styleId="1010" w:customStyle="1">
    <w:name w:val="普通(网站)1"/>
    <w:basedOn w:val="762"/>
    <w:uiPriority w:val="99"/>
    <w:pPr>
      <w:jc w:val="left"/>
      <w:spacing w:before="100" w:beforeAutospacing="1" w:after="100" w:afterAutospacing="1"/>
      <w:widowControl/>
    </w:pPr>
    <w:rPr>
      <w:rFonts w:ascii="宋体" w:hAnsi="宋体" w:eastAsia="宋体" w:cs="宋体"/>
      <w:sz w:val="24"/>
      <w:szCs w:val="24"/>
    </w:rPr>
  </w:style>
  <w:style w:type="paragraph" w:styleId="1011" w:customStyle="1">
    <w:name w:val="索引 11"/>
    <w:basedOn w:val="762"/>
    <w:next w:val="762"/>
    <w:uiPriority w:val="0"/>
    <w:semiHidden/>
    <w:pPr>
      <w:spacing w:line="240" w:lineRule="atLeast"/>
    </w:pPr>
    <w:rPr>
      <w:rFonts w:ascii="Times New Roman" w:hAnsi="Times New Roman" w:eastAsia="宋体" w:cs="Times New Roman"/>
      <w:b/>
      <w:bCs/>
      <w:szCs w:val="21"/>
    </w:rPr>
  </w:style>
  <w:style w:type="paragraph" w:styleId="1012" w:customStyle="1">
    <w:name w:val="批注主题1"/>
    <w:basedOn w:val="975"/>
    <w:next w:val="975"/>
    <w:link w:val="1013"/>
    <w:uiPriority w:val="0"/>
    <w:semiHidden/>
    <w:rPr>
      <w:rFonts w:ascii="Times New Roman" w:hAnsi="Times New Roman" w:eastAsia="宋体" w:cs="Times New Roman"/>
      <w:b/>
      <w:bCs/>
      <w:szCs w:val="21"/>
    </w:rPr>
  </w:style>
  <w:style w:type="character" w:styleId="1013" w:customStyle="1">
    <w:name w:val="批注主题 Char"/>
    <w:link w:val="1012"/>
    <w:uiPriority w:val="0"/>
    <w:semiHidden/>
    <w:rPr>
      <w:rFonts w:ascii="Times New Roman" w:hAnsi="Times New Roman" w:eastAsia="宋体" w:cs="Times New Roman"/>
      <w:b/>
      <w:bCs/>
      <w:szCs w:val="21"/>
    </w:rPr>
  </w:style>
  <w:style w:type="paragraph" w:styleId="1014" w:customStyle="1">
    <w:name w:val="正文首行缩进1"/>
    <w:basedOn w:val="762"/>
    <w:link w:val="1015"/>
    <w:uiPriority w:val="0"/>
    <w:pPr>
      <w:ind w:firstLine="200"/>
      <w:spacing w:line="360" w:lineRule="auto"/>
    </w:pPr>
    <w:rPr>
      <w:rFonts w:ascii="仿宋_GB2312" w:hAnsi="Times New Roman" w:eastAsia="仿宋_GB2312" w:cs="Times New Roman"/>
      <w:sz w:val="30"/>
      <w:szCs w:val="30"/>
    </w:rPr>
  </w:style>
  <w:style w:type="character" w:styleId="1015" w:customStyle="1">
    <w:name w:val="正文首行缩进 Char"/>
    <w:link w:val="1014"/>
    <w:uiPriority w:val="0"/>
    <w:rPr>
      <w:rFonts w:ascii="仿宋_GB2312" w:hAnsi="Times New Roman" w:eastAsia="仿宋_GB2312" w:cs="Times New Roman"/>
      <w:sz w:val="30"/>
      <w:szCs w:val="30"/>
    </w:rPr>
  </w:style>
  <w:style w:type="paragraph" w:styleId="1016" w:customStyle="1">
    <w:name w:val="正文首行缩进 21"/>
    <w:basedOn w:val="980"/>
    <w:link w:val="1017"/>
    <w:uiPriority w:val="0"/>
    <w:pPr>
      <w:ind w:left="0" w:firstLine="420"/>
      <w:spacing w:after="0" w:line="360" w:lineRule="auto"/>
    </w:pPr>
    <w:rPr>
      <w:rFonts w:ascii="宋体" w:hAnsi="宋体" w:eastAsia="宋体" w:cs="Times New Roman"/>
      <w:szCs w:val="20"/>
    </w:rPr>
  </w:style>
  <w:style w:type="character" w:styleId="1017" w:customStyle="1">
    <w:name w:val="正文首行缩进 2 Char"/>
    <w:link w:val="1016"/>
    <w:uiPriority w:val="0"/>
    <w:rPr>
      <w:rFonts w:ascii="宋体" w:hAnsi="宋体" w:eastAsia="宋体" w:cs="Times New Roman"/>
      <w:szCs w:val="20"/>
    </w:rPr>
  </w:style>
  <w:style w:type="table" w:styleId="1018" w:customStyle="1">
    <w:name w:val="网格型1"/>
    <w:basedOn w:val="960"/>
    <w:uiPriority w:val="0"/>
    <w:pPr>
      <w:jc w:val="both"/>
      <w:widowControl w:val="off"/>
    </w:pPr>
    <w:rPr>
      <w:rFonts w:ascii="Times New Roman" w:hAnsi="Times New Roman" w:eastAsia="宋体" w:cs="Times New Roman"/>
      <w:sz w:val="20"/>
      <w:szCs w:val="20"/>
    </w:rPr>
    <w:tblPr/>
  </w:style>
  <w:style w:type="character" w:styleId="1019" w:customStyle="1">
    <w:name w:val="要点1"/>
    <w:link w:val="762"/>
    <w:uiPriority w:val="0"/>
    <w:qFormat/>
    <w:rPr>
      <w:b/>
      <w:bCs/>
    </w:rPr>
  </w:style>
  <w:style w:type="character" w:styleId="1020" w:customStyle="1">
    <w:name w:val="页码1"/>
    <w:link w:val="762"/>
    <w:uiPriority w:val="0"/>
  </w:style>
  <w:style w:type="character" w:styleId="1021" w:customStyle="1">
    <w:name w:val="已访问的超链接1"/>
    <w:link w:val="762"/>
    <w:uiPriority w:val="0"/>
    <w:rPr>
      <w:color w:val="800080"/>
      <w:u w:val="single"/>
    </w:rPr>
  </w:style>
  <w:style w:type="character" w:styleId="1022" w:customStyle="1">
    <w:name w:val="超链接1"/>
    <w:basedOn w:val="959"/>
    <w:link w:val="762"/>
    <w:uiPriority w:val="0"/>
    <w:rPr>
      <w:color w:val="0000ff"/>
      <w:u w:val="single"/>
    </w:rPr>
  </w:style>
  <w:style w:type="character" w:styleId="1023" w:customStyle="1">
    <w:name w:val="批注引用1"/>
    <w:link w:val="762"/>
    <w:uiPriority w:val="0"/>
    <w:semiHidden/>
    <w:rPr>
      <w:sz w:val="21"/>
      <w:szCs w:val="21"/>
    </w:rPr>
  </w:style>
  <w:style w:type="character" w:styleId="1024" w:customStyle="1">
    <w:name w:val="font5 Char"/>
    <w:link w:val="762"/>
    <w:uiPriority w:val="0"/>
    <w:rPr>
      <w:rFonts w:ascii="宋体" w:hAnsi="宋体" w:eastAsia="宋体"/>
      <w:sz w:val="28"/>
      <w:szCs w:val="28"/>
      <w:lang w:val="en-US" w:eastAsia="zh-CN" w:bidi="ar-SA"/>
    </w:rPr>
  </w:style>
  <w:style w:type="character" w:styleId="1025" w:customStyle="1">
    <w:name w:val="二级目录 Char"/>
    <w:link w:val="1026"/>
    <w:uiPriority w:val="0"/>
    <w:rPr>
      <w:b/>
      <w:sz w:val="30"/>
      <w:szCs w:val="28"/>
    </w:rPr>
  </w:style>
  <w:style w:type="paragraph" w:styleId="1026" w:customStyle="1">
    <w:name w:val="二级目录"/>
    <w:next w:val="762"/>
    <w:link w:val="1025"/>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7" w:customStyle="1">
    <w:name w:val="列出段落 Char"/>
    <w:link w:val="1028"/>
    <w:uiPriority w:val="0"/>
    <w:rPr>
      <w:rFonts w:ascii="Calibri" w:hAnsi="Calibri"/>
      <w:sz w:val="24"/>
      <w:szCs w:val="24"/>
      <w:lang w:eastAsia="en-US" w:bidi="en-US"/>
    </w:rPr>
  </w:style>
  <w:style w:type="paragraph" w:styleId="1028" w:customStyle="1">
    <w:name w:val="列出段落1"/>
    <w:basedOn w:val="762"/>
    <w:link w:val="1027"/>
    <w:uiPriority w:val="0"/>
    <w:qFormat/>
    <w:pPr>
      <w:contextualSpacing/>
      <w:ind w:left="720"/>
      <w:jc w:val="left"/>
      <w:widowControl/>
    </w:pPr>
    <w:rPr>
      <w:rFonts w:ascii="Calibri" w:hAnsi="Calibri"/>
      <w:sz w:val="24"/>
      <w:szCs w:val="24"/>
      <w:lang w:eastAsia="en-US" w:bidi="en-US"/>
    </w:rPr>
  </w:style>
  <w:style w:type="character" w:styleId="1029" w:customStyle="1">
    <w:name w:val="font41"/>
    <w:basedOn w:val="959"/>
    <w:link w:val="762"/>
    <w:uiPriority w:val="0"/>
    <w:unhideWhenUsed/>
    <w:qFormat/>
    <w:rPr>
      <w:rFonts w:ascii="宋体" w:hAnsi="宋体" w:eastAsia="宋体" w:cs="宋体"/>
      <w:b/>
      <w:color w:val="000000"/>
      <w:sz w:val="21"/>
      <w:szCs w:val="21"/>
    </w:rPr>
  </w:style>
  <w:style w:type="paragraph" w:styleId="1030" w:customStyle="1">
    <w:name w:val="xl30"/>
    <w:basedOn w:val="762"/>
    <w:uiPriority w:val="0"/>
    <w:pPr>
      <w:jc w:val="center"/>
      <w:spacing w:before="100" w:beforeAutospacing="1" w:after="100" w:afterAutospacing="1"/>
      <w:widowControl/>
    </w:pPr>
    <w:rPr>
      <w:rFonts w:ascii="宋体" w:hAnsi="宋体" w:eastAsia="宋体" w:cs="Times New Roman"/>
      <w:b/>
      <w:bCs/>
      <w:sz w:val="36"/>
      <w:szCs w:val="36"/>
    </w:rPr>
  </w:style>
  <w:style w:type="paragraph" w:styleId="1031" w:customStyle="1">
    <w:name w:val="xl28"/>
    <w:basedOn w:val="76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2" w:customStyle="1">
    <w:name w:val="font5"/>
    <w:basedOn w:val="762"/>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33" w:customStyle="1">
    <w:name w:val="Char Char Char Char Char Char Char Char"/>
    <w:basedOn w:val="762"/>
    <w:uiPriority w:val="0"/>
    <w:pPr>
      <w:jc w:val="left"/>
      <w:spacing w:after="160" w:line="240" w:lineRule="exact"/>
      <w:widowControl/>
    </w:pPr>
    <w:rPr>
      <w:rFonts w:ascii="Verdana" w:hAnsi="Verdana" w:eastAsia="宋体" w:cs="Times New Roman"/>
      <w:sz w:val="20"/>
      <w:szCs w:val="20"/>
      <w:lang w:eastAsia="en-US"/>
    </w:rPr>
  </w:style>
  <w:style w:type="paragraph" w:styleId="1034" w:customStyle="1">
    <w:name w:val="Char Char Char Char"/>
    <w:basedOn w:val="973"/>
    <w:uiPriority w:val="0"/>
    <w:pPr>
      <w:spacing w:line="360" w:lineRule="auto"/>
    </w:pPr>
    <w:rPr>
      <w:rFonts w:ascii="Tahoma" w:hAnsi="Tahoma"/>
      <w:sz w:val="24"/>
      <w:szCs w:val="24"/>
    </w:rPr>
  </w:style>
  <w:style w:type="paragraph" w:styleId="1035" w:customStyle="1">
    <w:name w:val="table_1stline"/>
    <w:basedOn w:val="762"/>
    <w:uiPriority w:val="0"/>
    <w:pPr>
      <w:jc w:val="left"/>
      <w:spacing w:before="120"/>
      <w:widowControl/>
    </w:pPr>
    <w:rPr>
      <w:rFonts w:ascii="Times New Roman" w:hAnsi="Times New Roman" w:eastAsia="宋体" w:cs="Times New Roman"/>
      <w:bCs/>
      <w:sz w:val="20"/>
      <w:szCs w:val="20"/>
      <w:lang w:val="de-DE" w:eastAsia="de-DE"/>
    </w:rPr>
  </w:style>
  <w:style w:type="paragraph" w:styleId="1036" w:customStyle="1">
    <w:name w:val=" Char Char Char Char Char Char Char Char"/>
    <w:basedOn w:val="762"/>
    <w:uiPriority w:val="0"/>
    <w:pPr>
      <w:jc w:val="left"/>
      <w:spacing w:after="160" w:line="240" w:lineRule="exact"/>
      <w:widowControl/>
    </w:pPr>
    <w:rPr>
      <w:rFonts w:ascii="Verdana" w:hAnsi="Verdana" w:eastAsia="宋体" w:cs="Times New Roman"/>
      <w:sz w:val="20"/>
      <w:szCs w:val="20"/>
      <w:lang w:eastAsia="en-US"/>
    </w:rPr>
  </w:style>
  <w:style w:type="paragraph" w:styleId="1037" w:customStyle="1">
    <w:name w:val="xl26"/>
    <w:basedOn w:val="76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customStyle="1">
    <w:name w:val="正文1"/>
    <w:basedOn w:val="774"/>
    <w:next w:val="762"/>
    <w:uiPriority w:val="0"/>
    <w:qFormat/>
    <w:pPr>
      <w:ind w:left="420" w:firstLine="527"/>
      <w:spacing w:before="120" w:line="360" w:lineRule="auto"/>
      <w:tabs>
        <w:tab w:val="left" w:pos="5250" w:leader="none"/>
      </w:tabs>
    </w:pPr>
    <w:rPr>
      <w:rFonts w:ascii="宋体" w:hAnsi="宋体"/>
    </w:rPr>
  </w:style>
  <w:style w:type="paragraph" w:styleId="1039" w:customStyle="1">
    <w:name w:val="xl27"/>
    <w:basedOn w:val="76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0" w:customStyle="1">
    <w:name w:val="Body Text(ch)"/>
    <w:basedOn w:val="762"/>
    <w:next w:val="774"/>
    <w:uiPriority w:val="0"/>
    <w:pPr>
      <w:spacing w:after="120"/>
    </w:pPr>
    <w:rPr>
      <w:rFonts w:ascii="宋体" w:hAnsi="Arial" w:eastAsia="宋体" w:cs="Times New Roman"/>
      <w:bCs/>
      <w:iCs/>
      <w:szCs w:val="24"/>
    </w:rPr>
  </w:style>
  <w:style w:type="paragraph" w:styleId="1041" w:customStyle="1">
    <w:name w:val="Char"/>
    <w:basedOn w:val="762"/>
    <w:uiPriority w:val="0"/>
    <w:pPr>
      <w:ind w:firstLine="200"/>
      <w:tabs>
        <w:tab w:val="left" w:pos="360" w:leader="none"/>
      </w:tabs>
    </w:pPr>
    <w:rPr>
      <w:rFonts w:ascii="Times New Roman" w:hAnsi="Times New Roman" w:eastAsia="宋体" w:cs="Times New Roman"/>
      <w:sz w:val="28"/>
      <w:szCs w:val="30"/>
    </w:rPr>
  </w:style>
  <w:style w:type="paragraph" w:styleId="1042" w:customStyle="1">
    <w:name w:val=" Char"/>
    <w:basedOn w:val="973"/>
    <w:uiPriority w:val="0"/>
    <w:rPr>
      <w:rFonts w:ascii="Tahoma" w:hAnsi="Tahoma"/>
      <w:sz w:val="24"/>
      <w:szCs w:val="24"/>
    </w:rPr>
  </w:style>
  <w:style w:type="paragraph" w:styleId="1043" w:customStyle="1">
    <w:name w:val="普通正文"/>
    <w:basedOn w:val="762"/>
    <w:uiPriority w:val="0"/>
    <w:pPr>
      <w:ind w:firstLine="480"/>
      <w:jc w:val="left"/>
      <w:spacing w:before="120" w:after="120" w:line="360" w:lineRule="auto"/>
    </w:pPr>
    <w:rPr>
      <w:rFonts w:ascii="Arial" w:hAnsi="Arial" w:eastAsia="宋体" w:cs="Times New Roman"/>
      <w:sz w:val="24"/>
      <w:szCs w:val="24"/>
    </w:rPr>
  </w:style>
  <w:style w:type="paragraph" w:styleId="1044" w:customStyle="1">
    <w:name w:val="table_lines"/>
    <w:basedOn w:val="762"/>
    <w:uiPriority w:val="0"/>
    <w:pPr>
      <w:jc w:val="left"/>
      <w:widowControl/>
    </w:pPr>
    <w:rPr>
      <w:rFonts w:ascii="Times New Roman" w:hAnsi="Times New Roman" w:eastAsia="宋体" w:cs="Times New Roman"/>
      <w:sz w:val="20"/>
      <w:szCs w:val="20"/>
      <w:lang w:val="de-DE" w:eastAsia="de-DE"/>
    </w:rPr>
  </w:style>
  <w:style w:type="paragraph" w:styleId="1045"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6" w:customStyle="1">
    <w:name w:val="列出段落"/>
    <w:basedOn w:val="762"/>
    <w:uiPriority w:val="0"/>
    <w:qFormat/>
    <w:pPr>
      <w:contextualSpacing/>
      <w:ind w:left="720"/>
      <w:jc w:val="left"/>
      <w:widowControl/>
    </w:pPr>
    <w:rPr>
      <w:rFonts w:ascii="Calibri" w:hAnsi="Calibri" w:eastAsia="宋体" w:cs="Times New Roman"/>
      <w:sz w:val="24"/>
      <w:szCs w:val="24"/>
      <w:lang w:eastAsia="en-US" w:bidi="en-US"/>
    </w:rPr>
  </w:style>
  <w:style w:type="paragraph" w:styleId="1047" w:customStyle="1">
    <w:name w:val="font7"/>
    <w:basedOn w:val="762"/>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48" w:customStyle="1">
    <w:name w:val=" Char Char Char Char"/>
    <w:basedOn w:val="973"/>
    <w:uiPriority w:val="0"/>
    <w:pPr>
      <w:spacing w:line="360" w:lineRule="auto"/>
    </w:pPr>
    <w:rPr>
      <w:rFonts w:ascii="Tahoma" w:hAnsi="Tahoma"/>
      <w:sz w:val="24"/>
      <w:szCs w:val="24"/>
    </w:rPr>
  </w:style>
  <w:style w:type="paragraph" w:styleId="1049" w:customStyle="1">
    <w:name w:val="4"/>
    <w:basedOn w:val="762"/>
    <w:next w:val="1003"/>
    <w:uiPriority w:val="0"/>
    <w:pPr>
      <w:ind w:firstLine="420"/>
      <w:spacing w:line="360" w:lineRule="auto"/>
    </w:pPr>
    <w:rPr>
      <w:rFonts w:ascii="Times New Roman" w:hAnsi="Times New Roman" w:eastAsia="宋体" w:cs="Times New Roman"/>
      <w:color w:val="ff0000"/>
      <w:sz w:val="24"/>
      <w:szCs w:val="24"/>
    </w:rPr>
  </w:style>
  <w:style w:type="paragraph" w:styleId="1050" w:customStyle="1">
    <w:name w:val="普通 (Web)"/>
    <w:basedOn w:val="762"/>
    <w:uiPriority w:val="0"/>
    <w:pPr>
      <w:jc w:val="left"/>
      <w:spacing w:before="100" w:beforeAutospacing="1" w:after="100" w:afterAutospacing="1"/>
      <w:widowControl/>
    </w:pPr>
    <w:rPr>
      <w:rFonts w:ascii="宋体" w:hAnsi="宋体" w:eastAsia="宋体" w:cs="Times New Roman"/>
      <w:sz w:val="24"/>
      <w:szCs w:val="24"/>
    </w:rPr>
  </w:style>
  <w:style w:type="paragraph" w:styleId="1051" w:customStyle="1">
    <w:name w:val=" Char Char Char Char Char Char Char Char Char Char"/>
    <w:basedOn w:val="762"/>
    <w:uiPriority w:val="0"/>
    <w:pPr>
      <w:spacing w:line="360" w:lineRule="auto"/>
    </w:pPr>
    <w:rPr>
      <w:rFonts w:ascii="Times New Roman" w:hAnsi="Times New Roman" w:eastAsia="宋体" w:cs="Times New Roman"/>
      <w:sz w:val="24"/>
      <w:szCs w:val="20"/>
    </w:rPr>
  </w:style>
  <w:style w:type="paragraph" w:styleId="1052" w:customStyle="1">
    <w:name w:val="样式1"/>
    <w:basedOn w:val="762"/>
    <w:uiPriority w:val="0"/>
    <w:pPr>
      <w:numPr>
        <w:ilvl w:val="0"/>
        <w:numId w:val="3"/>
      </w:numPr>
    </w:pPr>
    <w:rPr>
      <w:rFonts w:ascii="宋体" w:hAnsi="宋体" w:eastAsia="宋体" w:cs="Times New Roman"/>
      <w:szCs w:val="21"/>
    </w:rPr>
  </w:style>
  <w:style w:type="paragraph" w:styleId="1053" w:customStyle="1">
    <w:name w:val="font6"/>
    <w:basedOn w:val="762"/>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54" w:customStyle="1">
    <w:name w:val="xl25"/>
    <w:basedOn w:val="76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customStyle="1">
    <w:name w:val="图标"/>
    <w:basedOn w:val="762"/>
    <w:next w:val="762"/>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6" w:customStyle="1">
    <w:name w:val="标题3"/>
    <w:basedOn w:val="762"/>
    <w:next w:val="762"/>
    <w:uiPriority w:val="0"/>
    <w:pPr>
      <w:ind w:firstLine="624"/>
      <w:spacing w:line="590" w:lineRule="atLeast"/>
    </w:pPr>
    <w:rPr>
      <w:rFonts w:ascii="方正黑体_GBK" w:hAnsi="Times New Roman" w:eastAsia="方正黑体_GBK" w:cs="Times New Roman"/>
      <w:sz w:val="32"/>
      <w:szCs w:val="32"/>
    </w:rPr>
  </w:style>
  <w:style w:type="paragraph" w:styleId="1057" w:customStyle="1">
    <w:name w:val="xl24"/>
    <w:basedOn w:val="76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8" w:customStyle="1">
    <w:name w:val="xl29"/>
    <w:basedOn w:val="762"/>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9" w:customStyle="1">
    <w:name w:val="标题1"/>
    <w:basedOn w:val="762"/>
    <w:next w:val="762"/>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customStyle="1">
    <w:name w:val="修订"/>
    <w:uiPriority w:val="99"/>
    <w:semiHidden/>
    <w:rPr>
      <w:rFonts w:hint="default" w:ascii="Times New Roman" w:hAnsi="Times New Roman" w:eastAsia="宋体" w:cs="Times New Roman"/>
      <w:sz w:val="21"/>
      <w:szCs w:val="21"/>
      <w:lang w:val="en-US" w:eastAsia="zh-CN" w:bidi="ar-SA"/>
    </w:rPr>
  </w:style>
  <w:style w:type="paragraph" w:styleId="10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2" w:customStyle="1">
    <w:name w:val="纯文本2"/>
    <w:basedOn w:val="762"/>
    <w:uiPriority w:val="0"/>
    <w:qFormat/>
    <w:rPr>
      <w:rFonts w:ascii="宋体" w:hAnsi="Courier New" w:eastAsia="宋体"/>
    </w:rPr>
  </w:style>
  <w:style w:type="paragraph" w:styleId="1063" w:customStyle="1">
    <w:name w:val="首行缩进"/>
    <w:basedOn w:val="762"/>
    <w:uiPriority w:val="0"/>
    <w:qFormat/>
    <w:pPr>
      <w:ind w:firstLine="480"/>
    </w:pPr>
    <w:rPr>
      <w:lang w:val="zh-CN"/>
    </w:rPr>
  </w:style>
  <w:style w:type="paragraph" w:styleId="1064" w:customStyle="1">
    <w:name w:val="段"/>
    <w:next w:val="7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65" w:customStyle="1">
    <w:name w:val="列表段落1"/>
    <w:basedOn w:val="762"/>
    <w:uiPriority w:val="0"/>
    <w:qFormat/>
    <w:pPr>
      <w:ind w:firstLine="420"/>
    </w:pPr>
    <w:rPr>
      <w:rFonts w:ascii="Calibri" w:hAnsi="Calibri"/>
    </w:rPr>
  </w:style>
  <w:style w:type="paragraph" w:styleId="1066" w:customStyle="1">
    <w:name w:val="列表段落2"/>
    <w:uiPriority w:val="0"/>
    <w:qFormat/>
    <w:pPr>
      <w:ind w:firstLine="420"/>
      <w:jc w:val="both"/>
      <w:widowControl w:val="off"/>
    </w:pPr>
    <w:rPr>
      <w:rFonts w:hint="default" w:ascii="Calibri" w:hAnsi="Calibri" w:eastAsia="宋体" w:cs="Times New Roman"/>
      <w:sz w:val="21"/>
      <w:szCs w:val="22"/>
      <w:lang w:val="en-US" w:eastAsia="zh-CN" w:bidi="ar-SA"/>
    </w:rPr>
  </w:style>
  <w:style w:type="paragraph" w:styleId="1067" w:customStyle="1">
    <w:name w:val="标题 41"/>
    <w:basedOn w:val="762"/>
    <w:next w:val="775"/>
    <w:uiPriority w:val="0"/>
    <w:unhideWhenUsed/>
    <w:qFormat/>
    <w:pPr>
      <w:keepLines/>
      <w:keepNext/>
      <w:spacing w:before="280" w:after="290" w:line="376" w:lineRule="auto"/>
      <w:outlineLvl w:val="3"/>
    </w:pPr>
    <w:rPr>
      <w:rFonts w:ascii="Arial" w:hAnsi="Arial" w:eastAsia="黑体" w:cs="Arial"/>
      <w:b/>
      <w:sz w:val="28"/>
      <w:szCs w:val="28"/>
    </w:rPr>
  </w:style>
  <w:style w:type="paragraph" w:styleId="1068" w:customStyle="1">
    <w:name w:val="纯文本5"/>
    <w:basedOn w:val="762"/>
    <w:uiPriority w:val="0"/>
    <w:pPr>
      <w:ind w:left="1024"/>
      <w:jc w:val="both"/>
    </w:pPr>
    <w:rPr>
      <w:rFonts w:hint="eastAsia" w:ascii="宋体" w:hAnsi="Courier New" w:eastAsia="宋体" w:cs="Times New Roman"/>
      <w:lang w:val="en-US" w:eastAsia="zh-CN" w:bidi="ar"/>
    </w:rPr>
  </w:style>
  <w:style w:type="paragraph" w:styleId="1069" w:customStyle="1">
    <w:name w:val="纯文本3"/>
    <w:basedOn w:val="762"/>
    <w:uiPriority w:val="0"/>
    <w:pPr>
      <w:ind w:left="1024"/>
      <w:jc w:val="both"/>
    </w:pPr>
    <w:rPr>
      <w:rFonts w:hint="eastAsia" w:ascii="宋体" w:hAnsi="Courier New" w:eastAsia="宋体" w:cs="Times New Roman"/>
      <w:lang w:val="en-US" w:eastAsia="zh-CN" w:bidi="ar"/>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汪业超</cp:lastModifiedBy>
  <cp:revision>5</cp:revision>
  <dcterms:created xsi:type="dcterms:W3CDTF">2023-03-29T07:28:00Z</dcterms:created>
  <dcterms:modified xsi:type="dcterms:W3CDTF">2026-01-27T05:27:32Z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2052-12.1.24709.24709</vt:lpwstr>
  </property>
  <property fmtid="{D5CDD505-2E9C-101B-9397-08002B2CF9AE}" pid="3" name="ICV">
    <vt:lpwstr>0DD0B8CD94DAB96709216F69C3395308_42</vt:lpwstr>
  </property>
  <property fmtid="{D5CDD505-2E9C-101B-9397-08002B2CF9AE}" pid="4" name="KSOTemplateDocerSaveRecord">
    <vt:lpwstr>eyJoZGlkIjoiZmQxNGRjMWRjYWVmNjk4ZWY3MDM3YTUwNjUyNWVjYmUiLCJ1c2VySWQiOiIzOTEzODgyOTcifQ==</vt:lpwstr>
  </property>
</Properties>
</file>